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4595"/>
        <w:gridCol w:w="4477"/>
      </w:tblGrid>
      <w:tr w:rsidR="008F6E2E" w:rsidRPr="008F6E2E" w:rsidTr="008F6E2E">
        <w:trPr>
          <w:trHeight w:val="1275"/>
          <w:tblCellSpacing w:w="0" w:type="dxa"/>
        </w:trPr>
        <w:tc>
          <w:tcPr>
            <w:tcW w:w="0" w:type="auto"/>
            <w:gridSpan w:val="2"/>
            <w:vAlign w:val="center"/>
            <w:hideMark/>
          </w:tcPr>
          <w:p w:rsidR="008F6E2E" w:rsidRPr="008F6E2E" w:rsidRDefault="008F6E2E" w:rsidP="008F6E2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F6E2E">
              <w:rPr>
                <w:rFonts w:ascii="Times New Roman" w:eastAsia="Times New Roman" w:hAnsi="Times New Roman" w:cs="Times New Roman"/>
                <w:b/>
                <w:bCs/>
                <w:sz w:val="24"/>
                <w:szCs w:val="24"/>
                <w:lang w:eastAsia="tr-TR"/>
              </w:rPr>
              <w:t>Leyla Ecem Demirkan ( C211/11)    24.09.2013</w:t>
            </w:r>
          </w:p>
        </w:tc>
      </w:tr>
      <w:tr w:rsidR="008F6E2E" w:rsidRPr="008F6E2E" w:rsidTr="008F6E2E">
        <w:trPr>
          <w:trHeight w:val="285"/>
          <w:tblCellSpacing w:w="0" w:type="dxa"/>
        </w:trPr>
        <w:tc>
          <w:tcPr>
            <w:tcW w:w="3690" w:type="dxa"/>
            <w:hideMark/>
          </w:tcPr>
          <w:p w:rsidR="008F6E2E" w:rsidRPr="008F6E2E" w:rsidRDefault="008F6E2E" w:rsidP="008F6E2E">
            <w:pPr>
              <w:spacing w:after="0" w:line="240" w:lineRule="auto"/>
              <w:rPr>
                <w:rFonts w:ascii="Times New Roman" w:eastAsia="Times New Roman" w:hAnsi="Times New Roman" w:cs="Times New Roman"/>
                <w:sz w:val="24"/>
                <w:szCs w:val="24"/>
                <w:lang w:eastAsia="tr-TR"/>
              </w:rPr>
            </w:pPr>
            <w:r w:rsidRPr="008F6E2E">
              <w:rPr>
                <w:rFonts w:ascii="Times New Roman" w:eastAsia="Times New Roman" w:hAnsi="Times New Roman" w:cs="Times New Roman"/>
                <w:sz w:val="24"/>
                <w:szCs w:val="24"/>
                <w:lang w:eastAsia="tr-TR"/>
              </w:rPr>
              <w:t> </w:t>
            </w:r>
          </w:p>
        </w:tc>
        <w:tc>
          <w:tcPr>
            <w:tcW w:w="4245" w:type="dxa"/>
            <w:hideMark/>
          </w:tcPr>
          <w:p w:rsidR="008F6E2E" w:rsidRPr="008F6E2E" w:rsidRDefault="008F6E2E" w:rsidP="008F6E2E">
            <w:pPr>
              <w:spacing w:after="0" w:line="240" w:lineRule="auto"/>
              <w:rPr>
                <w:rFonts w:ascii="Times New Roman" w:eastAsia="Times New Roman" w:hAnsi="Times New Roman" w:cs="Times New Roman"/>
                <w:sz w:val="24"/>
                <w:szCs w:val="24"/>
                <w:lang w:eastAsia="tr-TR"/>
              </w:rPr>
            </w:pPr>
            <w:r w:rsidRPr="008F6E2E">
              <w:rPr>
                <w:rFonts w:ascii="Times New Roman" w:eastAsia="Times New Roman" w:hAnsi="Times New Roman" w:cs="Times New Roman"/>
                <w:sz w:val="24"/>
                <w:szCs w:val="24"/>
                <w:lang w:eastAsia="tr-TR"/>
              </w:rPr>
              <w:t> </w:t>
            </w:r>
          </w:p>
        </w:tc>
      </w:tr>
      <w:tr w:rsidR="008F6E2E" w:rsidRPr="008F6E2E" w:rsidTr="008F6E2E">
        <w:trPr>
          <w:trHeight w:val="285"/>
          <w:tblCellSpacing w:w="0" w:type="dxa"/>
        </w:trPr>
        <w:tc>
          <w:tcPr>
            <w:tcW w:w="0" w:type="auto"/>
            <w:hideMark/>
          </w:tcPr>
          <w:p w:rsidR="008F6E2E" w:rsidRPr="008F6E2E" w:rsidRDefault="008F6E2E" w:rsidP="008F6E2E">
            <w:pPr>
              <w:spacing w:after="0" w:line="240" w:lineRule="auto"/>
              <w:rPr>
                <w:rFonts w:ascii="Times New Roman" w:eastAsia="Times New Roman" w:hAnsi="Times New Roman" w:cs="Times New Roman"/>
                <w:sz w:val="24"/>
                <w:szCs w:val="24"/>
                <w:lang w:eastAsia="tr-TR"/>
              </w:rPr>
            </w:pPr>
            <w:r w:rsidRPr="008F6E2E">
              <w:rPr>
                <w:rFonts w:ascii="Times New Roman" w:eastAsia="Times New Roman" w:hAnsi="Times New Roman" w:cs="Times New Roman"/>
                <w:sz w:val="24"/>
                <w:szCs w:val="24"/>
                <w:lang w:eastAsia="tr-TR"/>
              </w:rPr>
              <w:t> </w:t>
            </w:r>
          </w:p>
        </w:tc>
        <w:tc>
          <w:tcPr>
            <w:tcW w:w="0" w:type="auto"/>
            <w:vAlign w:val="center"/>
            <w:hideMark/>
          </w:tcPr>
          <w:p w:rsidR="008F6E2E" w:rsidRPr="008F6E2E" w:rsidRDefault="008F6E2E" w:rsidP="008F6E2E">
            <w:pPr>
              <w:spacing w:after="0" w:line="240" w:lineRule="auto"/>
              <w:rPr>
                <w:rFonts w:ascii="Times New Roman" w:eastAsia="Times New Roman" w:hAnsi="Times New Roman" w:cs="Times New Roman"/>
                <w:sz w:val="24"/>
                <w:szCs w:val="24"/>
                <w:lang w:eastAsia="tr-TR"/>
              </w:rPr>
            </w:pPr>
            <w:r w:rsidRPr="008F6E2E">
              <w:rPr>
                <w:rFonts w:ascii="Times New Roman" w:eastAsia="Times New Roman" w:hAnsi="Times New Roman" w:cs="Times New Roman"/>
                <w:sz w:val="24"/>
                <w:szCs w:val="24"/>
                <w:lang w:eastAsia="tr-TR"/>
              </w:rPr>
              <w:t> </w:t>
            </w:r>
          </w:p>
        </w:tc>
      </w:tr>
      <w:tr w:rsidR="008F6E2E" w:rsidRPr="008F6E2E" w:rsidTr="008F6E2E">
        <w:trPr>
          <w:tblCellSpacing w:w="0" w:type="dxa"/>
        </w:trPr>
        <w:tc>
          <w:tcPr>
            <w:tcW w:w="0" w:type="auto"/>
            <w:gridSpan w:val="2"/>
            <w:vAlign w:val="center"/>
            <w:hideMark/>
          </w:tcPr>
          <w:p w:rsidR="008F6E2E" w:rsidRPr="008F6E2E" w:rsidRDefault="008F6E2E" w:rsidP="008F6E2E">
            <w:pPr>
              <w:spacing w:beforeAutospacing="1" w:after="100" w:afterAutospacing="1" w:line="240" w:lineRule="auto"/>
              <w:jc w:val="both"/>
              <w:rPr>
                <w:rFonts w:ascii="Times New Roman" w:eastAsia="Times New Roman" w:hAnsi="Times New Roman" w:cs="Times New Roman"/>
                <w:sz w:val="24"/>
                <w:szCs w:val="24"/>
                <w:lang w:eastAsia="tr-TR"/>
              </w:rPr>
            </w:pPr>
            <w:r w:rsidRPr="008F6E2E">
              <w:rPr>
                <w:rFonts w:ascii="Times New Roman" w:eastAsia="Times New Roman" w:hAnsi="Times New Roman" w:cs="Times New Roman"/>
                <w:sz w:val="24"/>
                <w:szCs w:val="24"/>
                <w:lang w:eastAsia="tr-TR"/>
              </w:rPr>
              <w:t> </w:t>
            </w:r>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F6E2E">
              <w:rPr>
                <w:rFonts w:ascii="Times New Roman" w:eastAsia="Times New Roman" w:hAnsi="Times New Roman" w:cs="Times New Roman"/>
                <w:b/>
                <w:bCs/>
                <w:sz w:val="24"/>
                <w:szCs w:val="24"/>
                <w:u w:val="single"/>
                <w:lang w:eastAsia="tr-TR"/>
              </w:rPr>
              <w:t>Dava konusu</w:t>
            </w:r>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F6E2E">
              <w:rPr>
                <w:rFonts w:ascii="Times New Roman" w:eastAsia="Times New Roman" w:hAnsi="Times New Roman" w:cs="Times New Roman"/>
                <w:b/>
                <w:bCs/>
                <w:sz w:val="24"/>
                <w:szCs w:val="24"/>
                <w:lang w:eastAsia="tr-TR"/>
              </w:rPr>
              <w:t> </w:t>
            </w:r>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F6E2E">
              <w:rPr>
                <w:rFonts w:ascii="Times New Roman" w:eastAsia="Times New Roman" w:hAnsi="Times New Roman" w:cs="Times New Roman"/>
                <w:sz w:val="24"/>
                <w:szCs w:val="24"/>
                <w:lang w:eastAsia="tr-TR"/>
              </w:rPr>
              <w:t>Leyla Ecem Demirkan adlı vatandaşımız F. Almanya’ya vizesiz seyahat talebine ilişkin ilk derece mahkemesinde açtığı davayı kaybetmiş ve Berlin-</w:t>
            </w:r>
            <w:proofErr w:type="spellStart"/>
            <w:r w:rsidRPr="008F6E2E">
              <w:rPr>
                <w:rFonts w:ascii="Times New Roman" w:eastAsia="Times New Roman" w:hAnsi="Times New Roman" w:cs="Times New Roman"/>
                <w:sz w:val="24"/>
                <w:szCs w:val="24"/>
                <w:lang w:eastAsia="tr-TR"/>
              </w:rPr>
              <w:t>Brandenbung</w:t>
            </w:r>
            <w:proofErr w:type="spellEnd"/>
            <w:r w:rsidRPr="008F6E2E">
              <w:rPr>
                <w:rFonts w:ascii="Times New Roman" w:eastAsia="Times New Roman" w:hAnsi="Times New Roman" w:cs="Times New Roman"/>
                <w:sz w:val="24"/>
                <w:szCs w:val="24"/>
                <w:lang w:eastAsia="tr-TR"/>
              </w:rPr>
              <w:t xml:space="preserve"> Eyalet İdare Mahkemesi nezdinde temyiz talebinde bulunmuştur. Anılan Mahkeme Katma Protokol’ün 41/1. maddesi manasında bir hak sahipliğinin mevcut olup olmadığının incelenmesi için ön karar talebiyle AB Adalet Divanı’na başvurmuştur.</w:t>
            </w:r>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F6E2E">
              <w:rPr>
                <w:rFonts w:ascii="Times New Roman" w:eastAsia="Times New Roman" w:hAnsi="Times New Roman" w:cs="Times New Roman"/>
                <w:sz w:val="24"/>
                <w:szCs w:val="24"/>
                <w:lang w:eastAsia="tr-TR"/>
              </w:rPr>
              <w:t> </w:t>
            </w:r>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F6E2E">
              <w:rPr>
                <w:rFonts w:ascii="Times New Roman" w:eastAsia="Times New Roman" w:hAnsi="Times New Roman" w:cs="Times New Roman"/>
                <w:b/>
                <w:bCs/>
                <w:sz w:val="24"/>
                <w:szCs w:val="24"/>
                <w:u w:val="single"/>
                <w:lang w:eastAsia="tr-TR"/>
              </w:rPr>
              <w:t>Karar</w:t>
            </w:r>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F6E2E">
              <w:rPr>
                <w:rFonts w:ascii="Times New Roman" w:eastAsia="Times New Roman" w:hAnsi="Times New Roman" w:cs="Times New Roman"/>
                <w:sz w:val="24"/>
                <w:szCs w:val="24"/>
                <w:lang w:eastAsia="tr-TR"/>
              </w:rPr>
              <w:t> </w:t>
            </w:r>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F6E2E">
              <w:rPr>
                <w:rFonts w:ascii="Times New Roman" w:eastAsia="Times New Roman" w:hAnsi="Times New Roman" w:cs="Times New Roman"/>
                <w:sz w:val="24"/>
                <w:szCs w:val="24"/>
                <w:lang w:eastAsia="tr-TR"/>
              </w:rPr>
              <w:t xml:space="preserve">AB Adalet Divanı 24.09.2013 tarih ve C211/11 sayılı kararıyla Türk vatandaşlarının hizmet alımı için AB üyesi ülkelere vizesiz seyahat edemeyeceğine hükmetmiştir. </w:t>
            </w:r>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F6E2E">
              <w:rPr>
                <w:rFonts w:ascii="Times New Roman" w:eastAsia="Times New Roman" w:hAnsi="Times New Roman" w:cs="Times New Roman"/>
                <w:sz w:val="24"/>
                <w:szCs w:val="24"/>
                <w:lang w:eastAsia="tr-TR"/>
              </w:rPr>
              <w:t> </w:t>
            </w:r>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F6E2E">
              <w:rPr>
                <w:rFonts w:ascii="Times New Roman" w:eastAsia="Times New Roman" w:hAnsi="Times New Roman" w:cs="Times New Roman"/>
                <w:sz w:val="24"/>
                <w:szCs w:val="24"/>
                <w:lang w:eastAsia="tr-TR"/>
              </w:rPr>
              <w:t>Berlin-</w:t>
            </w:r>
            <w:proofErr w:type="spellStart"/>
            <w:r w:rsidRPr="008F6E2E">
              <w:rPr>
                <w:rFonts w:ascii="Times New Roman" w:eastAsia="Times New Roman" w:hAnsi="Times New Roman" w:cs="Times New Roman"/>
                <w:sz w:val="24"/>
                <w:szCs w:val="24"/>
                <w:lang w:eastAsia="tr-TR"/>
              </w:rPr>
              <w:t>Brandenburg</w:t>
            </w:r>
            <w:proofErr w:type="spellEnd"/>
            <w:r w:rsidRPr="008F6E2E">
              <w:rPr>
                <w:rFonts w:ascii="Times New Roman" w:eastAsia="Times New Roman" w:hAnsi="Times New Roman" w:cs="Times New Roman"/>
                <w:sz w:val="24"/>
                <w:szCs w:val="24"/>
                <w:lang w:eastAsia="tr-TR"/>
              </w:rPr>
              <w:t xml:space="preserve"> Yüksek İdare Mahkemesi Divan’dan bilhassa iki sorunun cevaplandırılmasını talep etmişti:</w:t>
            </w:r>
          </w:p>
          <w:p w:rsidR="008F6E2E" w:rsidRPr="008F6E2E" w:rsidRDefault="008F6E2E" w:rsidP="008F6E2E">
            <w:pPr>
              <w:spacing w:before="100" w:beforeAutospacing="1" w:after="100" w:afterAutospacing="1" w:line="240" w:lineRule="auto"/>
              <w:ind w:hanging="360"/>
              <w:jc w:val="both"/>
              <w:rPr>
                <w:rFonts w:ascii="Times New Roman" w:eastAsia="Times New Roman" w:hAnsi="Times New Roman" w:cs="Times New Roman"/>
                <w:sz w:val="24"/>
                <w:szCs w:val="24"/>
                <w:lang w:eastAsia="tr-TR"/>
              </w:rPr>
            </w:pPr>
            <w:r w:rsidRPr="008F6E2E">
              <w:rPr>
                <w:rFonts w:ascii="Times New Roman" w:eastAsia="Times New Roman" w:hAnsi="Times New Roman" w:cs="Times New Roman"/>
                <w:sz w:val="24"/>
                <w:szCs w:val="24"/>
                <w:lang w:eastAsia="tr-TR"/>
              </w:rPr>
              <w:t>1.</w:t>
            </w:r>
            <w:r w:rsidRPr="008F6E2E">
              <w:rPr>
                <w:rFonts w:ascii="Times New Roman" w:eastAsia="Times New Roman" w:hAnsi="Times New Roman" w:cs="Times New Roman"/>
                <w:sz w:val="14"/>
                <w:szCs w:val="14"/>
                <w:lang w:eastAsia="tr-TR"/>
              </w:rPr>
              <w:t xml:space="preserve">      </w:t>
            </w:r>
            <w:r w:rsidRPr="008F6E2E">
              <w:rPr>
                <w:rFonts w:ascii="Times New Roman" w:eastAsia="Times New Roman" w:hAnsi="Times New Roman" w:cs="Times New Roman"/>
                <w:sz w:val="24"/>
                <w:szCs w:val="24"/>
                <w:lang w:eastAsia="tr-TR"/>
              </w:rPr>
              <w:t>Türkiye ile Avrupa Ekonomik Topluluğu arasında bir Ortaklık kurulmasına yönelik Anlaşmaya ilişkin 23 Kasım 1970 tarihli Katma Protokol’ün 41. Madde 1. Fıkrası manasında; pasif hizmet serbestîsi, yani hizmet alımı da hizmetlerin serbest dolaşımı kavramına dâhil midir?</w:t>
            </w:r>
          </w:p>
          <w:p w:rsidR="008F6E2E" w:rsidRPr="008F6E2E" w:rsidRDefault="008F6E2E" w:rsidP="008F6E2E">
            <w:pPr>
              <w:spacing w:before="100" w:beforeAutospacing="1" w:after="100" w:afterAutospacing="1" w:line="240" w:lineRule="auto"/>
              <w:ind w:hanging="360"/>
              <w:jc w:val="both"/>
              <w:rPr>
                <w:rFonts w:ascii="Times New Roman" w:eastAsia="Times New Roman" w:hAnsi="Times New Roman" w:cs="Times New Roman"/>
                <w:sz w:val="24"/>
                <w:szCs w:val="24"/>
                <w:lang w:eastAsia="tr-TR"/>
              </w:rPr>
            </w:pPr>
            <w:proofErr w:type="gramStart"/>
            <w:r w:rsidRPr="008F6E2E">
              <w:rPr>
                <w:rFonts w:ascii="Times New Roman" w:eastAsia="Times New Roman" w:hAnsi="Times New Roman" w:cs="Times New Roman"/>
                <w:sz w:val="24"/>
                <w:szCs w:val="24"/>
                <w:lang w:eastAsia="tr-TR"/>
              </w:rPr>
              <w:t>2.</w:t>
            </w:r>
            <w:r w:rsidRPr="008F6E2E">
              <w:rPr>
                <w:rFonts w:ascii="Times New Roman" w:eastAsia="Times New Roman" w:hAnsi="Times New Roman" w:cs="Times New Roman"/>
                <w:sz w:val="14"/>
                <w:szCs w:val="14"/>
                <w:lang w:eastAsia="tr-TR"/>
              </w:rPr>
              <w:t xml:space="preserve">      </w:t>
            </w:r>
            <w:r w:rsidRPr="008F6E2E">
              <w:rPr>
                <w:rFonts w:ascii="Times New Roman" w:eastAsia="Times New Roman" w:hAnsi="Times New Roman" w:cs="Times New Roman"/>
                <w:sz w:val="24"/>
                <w:szCs w:val="24"/>
                <w:lang w:eastAsia="tr-TR"/>
              </w:rPr>
              <w:t>Sorunun “evet” ile cevaplandırılması halinde, Katma Protokol’ün 41. Maddesi 1. Fıkrasına göre hizmet alımı serbestîsinin Ortaklık Hukukuyla korunması, müşahhas bir hizmet alımı için değil, bilakis akrabaları ziyaret amacıyla, Federal Almanya’ya üç aylık bir süreyle seyahat etmek isteyen ve bu esnada sadece Almanya’daki hizmet alımı imkânlarını ileri süren davacının durumundaki Türk vatandaşlarını da kapsar mı?</w:t>
            </w:r>
            <w:proofErr w:type="gramEnd"/>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8F6E2E">
              <w:rPr>
                <w:rFonts w:ascii="Times New Roman" w:eastAsia="Times New Roman" w:hAnsi="Times New Roman" w:cs="Times New Roman"/>
                <w:sz w:val="24"/>
                <w:szCs w:val="24"/>
                <w:lang w:eastAsia="tr-TR"/>
              </w:rPr>
              <w:t xml:space="preserve">AB Adalet Divanı bu kararıyla “hizmetlerin serbest dolaşımı” kavramına açıklık getirmiş ve Katma Protokol’ün “mevcut şartlarda zorlaştırma yapılamayacağı” esasından hareketle, “hizmetlerin serbest dolaşımı </w:t>
            </w:r>
            <w:proofErr w:type="spellStart"/>
            <w:r w:rsidRPr="008F6E2E">
              <w:rPr>
                <w:rFonts w:ascii="Times New Roman" w:eastAsia="Times New Roman" w:hAnsi="Times New Roman" w:cs="Times New Roman"/>
                <w:sz w:val="24"/>
                <w:szCs w:val="24"/>
                <w:lang w:eastAsia="tr-TR"/>
              </w:rPr>
              <w:t>kavramı”ndan</w:t>
            </w:r>
            <w:proofErr w:type="spellEnd"/>
            <w:r w:rsidRPr="008F6E2E">
              <w:rPr>
                <w:rFonts w:ascii="Times New Roman" w:eastAsia="Times New Roman" w:hAnsi="Times New Roman" w:cs="Times New Roman"/>
                <w:sz w:val="24"/>
                <w:szCs w:val="24"/>
                <w:lang w:eastAsia="tr-TR"/>
              </w:rPr>
              <w:t xml:space="preserve"> pasif hizmet serbestliğine ilişkin bir sonuca varılamayacağı, başka bir ifade ile </w:t>
            </w:r>
            <w:proofErr w:type="spellStart"/>
            <w:r w:rsidRPr="008F6E2E">
              <w:rPr>
                <w:rFonts w:ascii="Times New Roman" w:eastAsia="Times New Roman" w:hAnsi="Times New Roman" w:cs="Times New Roman"/>
                <w:sz w:val="24"/>
                <w:szCs w:val="24"/>
                <w:lang w:eastAsia="tr-TR"/>
              </w:rPr>
              <w:t>sözkonusu</w:t>
            </w:r>
            <w:proofErr w:type="spellEnd"/>
            <w:r w:rsidRPr="008F6E2E">
              <w:rPr>
                <w:rFonts w:ascii="Times New Roman" w:eastAsia="Times New Roman" w:hAnsi="Times New Roman" w:cs="Times New Roman"/>
                <w:sz w:val="24"/>
                <w:szCs w:val="24"/>
                <w:lang w:eastAsia="tr-TR"/>
              </w:rPr>
              <w:t xml:space="preserve"> kavramdan herhangi bir hizmeti almak için Türk vatandaşlarının hizmet alıcısı sıfatıyla bir üye devlete gidebilme serbestliğine sahip olmadıkları kararını vermiştir.</w:t>
            </w:r>
            <w:proofErr w:type="gramEnd"/>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F6E2E">
              <w:rPr>
                <w:rFonts w:ascii="Times New Roman" w:eastAsia="Times New Roman" w:hAnsi="Times New Roman" w:cs="Times New Roman"/>
                <w:sz w:val="24"/>
                <w:szCs w:val="24"/>
                <w:lang w:eastAsia="tr-TR"/>
              </w:rPr>
              <w:lastRenderedPageBreak/>
              <w:t> </w:t>
            </w:r>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F6E2E">
              <w:rPr>
                <w:rFonts w:ascii="Times New Roman" w:eastAsia="Times New Roman" w:hAnsi="Times New Roman" w:cs="Times New Roman"/>
                <w:sz w:val="24"/>
                <w:szCs w:val="24"/>
                <w:lang w:eastAsia="tr-TR"/>
              </w:rPr>
              <w:t xml:space="preserve">Divan hizmet sunumu ile ilgili kararlarıyla herhangi bir çelişkiye düşmemek için gerekçesinde zaman zaman söz konusu kararlara (Savatlı, Savaş, </w:t>
            </w:r>
            <w:proofErr w:type="spellStart"/>
            <w:r w:rsidRPr="008F6E2E">
              <w:rPr>
                <w:rFonts w:ascii="Times New Roman" w:eastAsia="Times New Roman" w:hAnsi="Times New Roman" w:cs="Times New Roman"/>
                <w:sz w:val="24"/>
                <w:szCs w:val="24"/>
                <w:lang w:eastAsia="tr-TR"/>
              </w:rPr>
              <w:t>Abatay</w:t>
            </w:r>
            <w:proofErr w:type="spellEnd"/>
            <w:r w:rsidRPr="008F6E2E">
              <w:rPr>
                <w:rFonts w:ascii="Times New Roman" w:eastAsia="Times New Roman" w:hAnsi="Times New Roman" w:cs="Times New Roman"/>
                <w:sz w:val="24"/>
                <w:szCs w:val="24"/>
                <w:lang w:eastAsia="tr-TR"/>
              </w:rPr>
              <w:t xml:space="preserve"> kararları gibi...)  atıfta bulunmakta,  hizmet sunumu serbestliğiyle ilgili kararların yerindeliğine işaret etmekte, ancak hizmet alımı için söz konusu kararların referans olamayacağını vurgulamaktadır.  </w:t>
            </w:r>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F6E2E">
              <w:rPr>
                <w:rFonts w:ascii="Times New Roman" w:eastAsia="Times New Roman" w:hAnsi="Times New Roman" w:cs="Times New Roman"/>
                <w:sz w:val="24"/>
                <w:szCs w:val="24"/>
                <w:lang w:eastAsia="tr-TR"/>
              </w:rPr>
              <w:t> </w:t>
            </w:r>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8F6E2E">
              <w:rPr>
                <w:rFonts w:ascii="Times New Roman" w:eastAsia="Times New Roman" w:hAnsi="Times New Roman" w:cs="Times New Roman"/>
                <w:sz w:val="24"/>
                <w:szCs w:val="24"/>
                <w:lang w:eastAsia="tr-TR"/>
              </w:rPr>
              <w:t>Mahkeme karar gerekçesinde bilhassa Avrupa Ekonomik Topluluğunu (AET)  kuran Anlaşmanın 59. maddesi gereği (daha sonraki AB Anlaşmasının 59. Maddesi, bilahare yapılan değişiklikle 49. maddesi ve en son 56. madde olarak yer almaktadır) Birlik Anlaşmalarıyla AB üyesi ülke vatandaşlarına tanınan serbest hizmet dolaşımı hakkının sadece bir hizmet sunumu değil,  aynı zamanda hizmet alımı hakkını da içerdiğini ve bunun 1984 yılındaki “</w:t>
            </w:r>
            <w:proofErr w:type="spellStart"/>
            <w:r w:rsidRPr="008F6E2E">
              <w:rPr>
                <w:rFonts w:ascii="Times New Roman" w:eastAsia="Times New Roman" w:hAnsi="Times New Roman" w:cs="Times New Roman"/>
                <w:sz w:val="24"/>
                <w:szCs w:val="24"/>
                <w:lang w:eastAsia="tr-TR"/>
              </w:rPr>
              <w:t>Luisi</w:t>
            </w:r>
            <w:proofErr w:type="spellEnd"/>
            <w:r w:rsidRPr="008F6E2E">
              <w:rPr>
                <w:rFonts w:ascii="Times New Roman" w:eastAsia="Times New Roman" w:hAnsi="Times New Roman" w:cs="Times New Roman"/>
                <w:sz w:val="24"/>
                <w:szCs w:val="24"/>
                <w:lang w:eastAsia="tr-TR"/>
              </w:rPr>
              <w:t>/</w:t>
            </w:r>
            <w:proofErr w:type="spellStart"/>
            <w:r w:rsidRPr="008F6E2E">
              <w:rPr>
                <w:rFonts w:ascii="Times New Roman" w:eastAsia="Times New Roman" w:hAnsi="Times New Roman" w:cs="Times New Roman"/>
                <w:sz w:val="24"/>
                <w:szCs w:val="24"/>
                <w:lang w:eastAsia="tr-TR"/>
              </w:rPr>
              <w:t>Carbone</w:t>
            </w:r>
            <w:proofErr w:type="spellEnd"/>
            <w:r w:rsidRPr="008F6E2E">
              <w:rPr>
                <w:rFonts w:ascii="Times New Roman" w:eastAsia="Times New Roman" w:hAnsi="Times New Roman" w:cs="Times New Roman"/>
                <w:sz w:val="24"/>
                <w:szCs w:val="24"/>
                <w:lang w:eastAsia="tr-TR"/>
              </w:rPr>
              <w:t xml:space="preserve">” kararıyla da teyit edilmiş olduğunu vurgulamaktadır. </w:t>
            </w:r>
            <w:proofErr w:type="gramEnd"/>
            <w:r w:rsidRPr="008F6E2E">
              <w:rPr>
                <w:rFonts w:ascii="Times New Roman" w:eastAsia="Times New Roman" w:hAnsi="Times New Roman" w:cs="Times New Roman"/>
                <w:sz w:val="24"/>
                <w:szCs w:val="24"/>
                <w:lang w:eastAsia="tr-TR"/>
              </w:rPr>
              <w:t xml:space="preserve">Bu itibarla Birlik vatandaşları sadece hizmet sunmak için değil, örneğin eğitim, sağlık hizmeti ve turistik amaçlarla bir başka üye ülkeye gidebilmektedirler. Böyle bir hak, yani pasif hizmet alımı sınırlardan arındırılmış bir iç piyasanın oluşumuna yönelik bir haktır. Divan’a göre, böyle bir piyasa ancak bu tür engellerin ortadan kaldırılmasıyla mümkün olabilir. </w:t>
            </w:r>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F6E2E">
              <w:rPr>
                <w:rFonts w:ascii="Times New Roman" w:eastAsia="Times New Roman" w:hAnsi="Times New Roman" w:cs="Times New Roman"/>
                <w:sz w:val="24"/>
                <w:szCs w:val="24"/>
                <w:lang w:eastAsia="tr-TR"/>
              </w:rPr>
              <w:t> </w:t>
            </w:r>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F6E2E">
              <w:rPr>
                <w:rFonts w:ascii="Times New Roman" w:eastAsia="Times New Roman" w:hAnsi="Times New Roman" w:cs="Times New Roman"/>
                <w:sz w:val="24"/>
                <w:szCs w:val="24"/>
                <w:lang w:eastAsia="tr-TR"/>
              </w:rPr>
              <w:t xml:space="preserve">Ancak Divan Birlik vatandaşlarına serbest dolaşımla ilgili, yani hizmet alımıyla ilgili haklar tanıyan Birlik Anlaşmaları ile bir taraftan Ortaklık Anlaşması ve diğer taraftan Katma Protokol hükümleri arasında eşit değerde hükümler görmemektedir. Kararın gerekçesinde Birlik Anlaşmaları ve Ortaklık Anlaşması/Katma Protokol arasındaki hedef farklılığına işaret etmektedir. </w:t>
            </w:r>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F6E2E">
              <w:rPr>
                <w:rFonts w:ascii="Times New Roman" w:eastAsia="Times New Roman" w:hAnsi="Times New Roman" w:cs="Times New Roman"/>
                <w:sz w:val="24"/>
                <w:szCs w:val="24"/>
                <w:lang w:eastAsia="tr-TR"/>
              </w:rPr>
              <w:t> </w:t>
            </w:r>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8F6E2E">
              <w:rPr>
                <w:rFonts w:ascii="Times New Roman" w:eastAsia="Times New Roman" w:hAnsi="Times New Roman" w:cs="Times New Roman"/>
                <w:sz w:val="24"/>
                <w:szCs w:val="24"/>
                <w:lang w:eastAsia="tr-TR"/>
              </w:rPr>
              <w:t>Divan gerekçesinde Birlik Anlaşmalarının hedefinde açık ve bariz bir şekilde hem hizmet alımının hem de hizmet sunumunun yer aldığı, bunun da 1984 yılında verdiği “</w:t>
            </w:r>
            <w:proofErr w:type="spellStart"/>
            <w:r w:rsidRPr="008F6E2E">
              <w:rPr>
                <w:rFonts w:ascii="Times New Roman" w:eastAsia="Times New Roman" w:hAnsi="Times New Roman" w:cs="Times New Roman"/>
                <w:sz w:val="24"/>
                <w:szCs w:val="24"/>
                <w:lang w:eastAsia="tr-TR"/>
              </w:rPr>
              <w:t>Luisi</w:t>
            </w:r>
            <w:proofErr w:type="spellEnd"/>
            <w:r w:rsidRPr="008F6E2E">
              <w:rPr>
                <w:rFonts w:ascii="Times New Roman" w:eastAsia="Times New Roman" w:hAnsi="Times New Roman" w:cs="Times New Roman"/>
                <w:sz w:val="24"/>
                <w:szCs w:val="24"/>
                <w:lang w:eastAsia="tr-TR"/>
              </w:rPr>
              <w:t>/</w:t>
            </w:r>
            <w:proofErr w:type="spellStart"/>
            <w:r w:rsidRPr="008F6E2E">
              <w:rPr>
                <w:rFonts w:ascii="Times New Roman" w:eastAsia="Times New Roman" w:hAnsi="Times New Roman" w:cs="Times New Roman"/>
                <w:sz w:val="24"/>
                <w:szCs w:val="24"/>
                <w:lang w:eastAsia="tr-TR"/>
              </w:rPr>
              <w:t>Carbone</w:t>
            </w:r>
            <w:proofErr w:type="spellEnd"/>
            <w:r w:rsidRPr="008F6E2E">
              <w:rPr>
                <w:rFonts w:ascii="Times New Roman" w:eastAsia="Times New Roman" w:hAnsi="Times New Roman" w:cs="Times New Roman"/>
                <w:sz w:val="24"/>
                <w:szCs w:val="24"/>
                <w:lang w:eastAsia="tr-TR"/>
              </w:rPr>
              <w:t>” kararıyla pekiştiği, Türkiye/AB Anlaşmalarında (Ortaklık Anlaşması, Katma Protokol, OKK) hükümler açık olmadığından hizmetlerin serbest dolaşımı kavramının hizmet sunumuna uygulanabileceği, fakat Katma Protokol’de yer alan “mevcut şartlarda zorlaştırmaya gidilemeyeceği” hükmüne, başka bir ifadeyle, pasif hizmet alımına (</w:t>
            </w:r>
            <w:proofErr w:type="spellStart"/>
            <w:r w:rsidRPr="008F6E2E">
              <w:rPr>
                <w:rFonts w:ascii="Times New Roman" w:eastAsia="Times New Roman" w:hAnsi="Times New Roman" w:cs="Times New Roman"/>
                <w:sz w:val="24"/>
                <w:szCs w:val="24"/>
                <w:lang w:eastAsia="tr-TR"/>
              </w:rPr>
              <w:t>Stilhalteklausel</w:t>
            </w:r>
            <w:proofErr w:type="spellEnd"/>
            <w:r w:rsidRPr="008F6E2E">
              <w:rPr>
                <w:rFonts w:ascii="Times New Roman" w:eastAsia="Times New Roman" w:hAnsi="Times New Roman" w:cs="Times New Roman"/>
                <w:sz w:val="24"/>
                <w:szCs w:val="24"/>
                <w:lang w:eastAsia="tr-TR"/>
              </w:rPr>
              <w:t xml:space="preserve">)  uygulanamayacağı görüşüne yer vermektedir. </w:t>
            </w:r>
            <w:proofErr w:type="gramEnd"/>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F6E2E">
              <w:rPr>
                <w:rFonts w:ascii="Times New Roman" w:eastAsia="Times New Roman" w:hAnsi="Times New Roman" w:cs="Times New Roman"/>
                <w:sz w:val="24"/>
                <w:szCs w:val="24"/>
                <w:lang w:eastAsia="tr-TR"/>
              </w:rPr>
              <w:t> </w:t>
            </w:r>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F6E2E">
              <w:rPr>
                <w:rFonts w:ascii="Times New Roman" w:eastAsia="Times New Roman" w:hAnsi="Times New Roman" w:cs="Times New Roman"/>
                <w:sz w:val="24"/>
                <w:szCs w:val="24"/>
                <w:lang w:eastAsia="tr-TR"/>
              </w:rPr>
              <w:t>Serbest dolaşımla ilgili olarak Ortaklık Anlaşmasının 14. maddesinde yer alan AB Anlaşmasının serbest dolaşımla ilgili maddelerine atıfta bulunulması Türk vatandaşları için AB Anlaşmaları manasında bir serbest dolaşım hakkı içerdiği şeklinde anlaşılamaz. Bu maddelere sadece bir ilham kaynağı olarak işaret edilmiştir.</w:t>
            </w:r>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F6E2E">
              <w:rPr>
                <w:rFonts w:ascii="Times New Roman" w:eastAsia="Times New Roman" w:hAnsi="Times New Roman" w:cs="Times New Roman"/>
                <w:sz w:val="24"/>
                <w:szCs w:val="24"/>
                <w:lang w:eastAsia="tr-TR"/>
              </w:rPr>
              <w:t> </w:t>
            </w:r>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F6E2E">
              <w:rPr>
                <w:rFonts w:ascii="Times New Roman" w:eastAsia="Times New Roman" w:hAnsi="Times New Roman" w:cs="Times New Roman"/>
                <w:sz w:val="24"/>
                <w:szCs w:val="24"/>
                <w:lang w:eastAsia="tr-TR"/>
              </w:rPr>
              <w:t xml:space="preserve">Diğer taraftan Ortaklık Konseyi şimdiye dek Katma Protokol hükümleri mucibince hizmetlerin serbest dolaşımındaki engelleri ortadan kaldırmaya yönelik yol planı ve ayrıntıları tespit edecek herhangi bir tedbir almamıştır. Serbest dolaşımı somutlaştıracak herhangi bir girişimde de </w:t>
            </w:r>
            <w:r w:rsidRPr="008F6E2E">
              <w:rPr>
                <w:rFonts w:ascii="Times New Roman" w:eastAsia="Times New Roman" w:hAnsi="Times New Roman" w:cs="Times New Roman"/>
                <w:sz w:val="24"/>
                <w:szCs w:val="24"/>
                <w:lang w:eastAsia="tr-TR"/>
              </w:rPr>
              <w:lastRenderedPageBreak/>
              <w:t xml:space="preserve">bulunmamıştır. Ayrıca 1984 yılında </w:t>
            </w:r>
            <w:proofErr w:type="spellStart"/>
            <w:r w:rsidRPr="008F6E2E">
              <w:rPr>
                <w:rFonts w:ascii="Times New Roman" w:eastAsia="Times New Roman" w:hAnsi="Times New Roman" w:cs="Times New Roman"/>
                <w:sz w:val="24"/>
                <w:szCs w:val="24"/>
                <w:lang w:eastAsia="tr-TR"/>
              </w:rPr>
              <w:t>Louisi</w:t>
            </w:r>
            <w:proofErr w:type="spellEnd"/>
            <w:r w:rsidRPr="008F6E2E">
              <w:rPr>
                <w:rFonts w:ascii="Times New Roman" w:eastAsia="Times New Roman" w:hAnsi="Times New Roman" w:cs="Times New Roman"/>
                <w:sz w:val="24"/>
                <w:szCs w:val="24"/>
                <w:lang w:eastAsia="tr-TR"/>
              </w:rPr>
              <w:t>/</w:t>
            </w:r>
            <w:proofErr w:type="spellStart"/>
            <w:r w:rsidRPr="008F6E2E">
              <w:rPr>
                <w:rFonts w:ascii="Times New Roman" w:eastAsia="Times New Roman" w:hAnsi="Times New Roman" w:cs="Times New Roman"/>
                <w:sz w:val="24"/>
                <w:szCs w:val="24"/>
                <w:lang w:eastAsia="tr-TR"/>
              </w:rPr>
              <w:t>Carbone</w:t>
            </w:r>
            <w:proofErr w:type="spellEnd"/>
            <w:r w:rsidRPr="008F6E2E">
              <w:rPr>
                <w:rFonts w:ascii="Times New Roman" w:eastAsia="Times New Roman" w:hAnsi="Times New Roman" w:cs="Times New Roman"/>
                <w:sz w:val="24"/>
                <w:szCs w:val="24"/>
                <w:lang w:eastAsia="tr-TR"/>
              </w:rPr>
              <w:t xml:space="preserve"> Kararı verilmeden 14, yani 21 yıl önce Ortaklık Anlaşmasının ve Katma Protokol’ün taraflarının imza aşamasında hizmetlerin serbest dolaşımının pasif hizmet serbestisini de içerdiğinden hareket ettiklerine dair herhangi bir ipucu mevcut değildir. </w:t>
            </w:r>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F6E2E">
              <w:rPr>
                <w:rFonts w:ascii="Times New Roman" w:eastAsia="Times New Roman" w:hAnsi="Times New Roman" w:cs="Times New Roman"/>
                <w:sz w:val="24"/>
                <w:szCs w:val="24"/>
                <w:lang w:eastAsia="tr-TR"/>
              </w:rPr>
              <w:t> </w:t>
            </w:r>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F6E2E">
              <w:rPr>
                <w:rFonts w:ascii="Times New Roman" w:eastAsia="Times New Roman" w:hAnsi="Times New Roman" w:cs="Times New Roman"/>
                <w:sz w:val="24"/>
                <w:szCs w:val="24"/>
                <w:lang w:eastAsia="tr-TR"/>
              </w:rPr>
              <w:t xml:space="preserve">Ayrıca Ortaklık Anlaşması ve Katma Protokol yanlış anlaşılmaya mahal vermeyecek şekilde amaç olarak bilhassa ekonomik hedeflere odaklanmıştır. Ortaklık Anlaşmasının 2. maddesi ekonomik gelişmeye vurgu yapmaktadır. Katma Protokol’ün 41/2. maddesi ise bu hedefleri detaylandırmıştır. </w:t>
            </w:r>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F6E2E">
              <w:rPr>
                <w:rFonts w:ascii="Times New Roman" w:eastAsia="Times New Roman" w:hAnsi="Times New Roman" w:cs="Times New Roman"/>
                <w:sz w:val="24"/>
                <w:szCs w:val="24"/>
                <w:lang w:eastAsia="tr-TR"/>
              </w:rPr>
              <w:t> </w:t>
            </w:r>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8F6E2E">
              <w:rPr>
                <w:rFonts w:ascii="Times New Roman" w:eastAsia="Times New Roman" w:hAnsi="Times New Roman" w:cs="Times New Roman"/>
                <w:sz w:val="24"/>
                <w:szCs w:val="24"/>
                <w:lang w:eastAsia="tr-TR"/>
              </w:rPr>
              <w:t xml:space="preserve">Divan genel bir serbest dolaşımı mümkün kılmak için, Birlik Anlaşmasının 21. maddesi gereği Birlik vatandaşları için geçerli olan ekonomik özgürlüklerle mukayese edilebilir gibi görünen ekonomik özgürlüklerin geliştirilmesinin Ortaklık Anlaşmasının konusu olmadığını ve Ortaklık Anlaşmasının muayyen hakların kullanılmasını sadece ikamet edilen ülkenin egemenlik sahasında teminat altına aldığını belirterek, bu hususta 18 Temmuz 2007 tarihli ve C 325/05 sayılı Derin Kararına atıfta bulunmaktadır. </w:t>
            </w:r>
            <w:proofErr w:type="gramEnd"/>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F6E2E">
              <w:rPr>
                <w:rFonts w:ascii="Times New Roman" w:eastAsia="Times New Roman" w:hAnsi="Times New Roman" w:cs="Times New Roman"/>
                <w:sz w:val="24"/>
                <w:szCs w:val="24"/>
                <w:lang w:eastAsia="tr-TR"/>
              </w:rPr>
              <w:t> </w:t>
            </w:r>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8F6E2E">
              <w:rPr>
                <w:rFonts w:ascii="Times New Roman" w:eastAsia="Times New Roman" w:hAnsi="Times New Roman" w:cs="Times New Roman"/>
                <w:sz w:val="24"/>
                <w:szCs w:val="24"/>
                <w:lang w:eastAsia="tr-TR"/>
              </w:rPr>
              <w:t xml:space="preserve">Gerekçede Divan geçmişte mütemadiyen Katma Protokol’ün 41/1. maddesinde yer alan “mevcut şartlarda kötüleştirme yapılmaması” kaydının Türk vatandaşlarına sadece Birlik Hukuku esasında bir yerleşme ve buna bağlı bir ikamet hakkı verilmesine uygun bir hüküm olmadığına ve bu hükme bağlı olarak hizmetlerin serbest dolaşımı hakkının veya üye bir ülkeye serbestçe giriş hakkının verilmediğine işaret etmektedir. </w:t>
            </w:r>
            <w:proofErr w:type="gramEnd"/>
            <w:r w:rsidRPr="008F6E2E">
              <w:rPr>
                <w:rFonts w:ascii="Times New Roman" w:eastAsia="Times New Roman" w:hAnsi="Times New Roman" w:cs="Times New Roman"/>
                <w:sz w:val="24"/>
                <w:szCs w:val="24"/>
                <w:lang w:eastAsia="tr-TR"/>
              </w:rPr>
              <w:t xml:space="preserve">Keza bu hususta da Savaş, </w:t>
            </w:r>
            <w:proofErr w:type="spellStart"/>
            <w:r w:rsidRPr="008F6E2E">
              <w:rPr>
                <w:rFonts w:ascii="Times New Roman" w:eastAsia="Times New Roman" w:hAnsi="Times New Roman" w:cs="Times New Roman"/>
                <w:sz w:val="24"/>
                <w:szCs w:val="24"/>
                <w:lang w:eastAsia="tr-TR"/>
              </w:rPr>
              <w:t>Abatay</w:t>
            </w:r>
            <w:proofErr w:type="spellEnd"/>
            <w:r w:rsidRPr="008F6E2E">
              <w:rPr>
                <w:rFonts w:ascii="Times New Roman" w:eastAsia="Times New Roman" w:hAnsi="Times New Roman" w:cs="Times New Roman"/>
                <w:sz w:val="24"/>
                <w:szCs w:val="24"/>
                <w:lang w:eastAsia="tr-TR"/>
              </w:rPr>
              <w:t xml:space="preserve">, Tüm/Darı ve Soysal kararlarını ileri sürmektedir.  </w:t>
            </w:r>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F6E2E">
              <w:rPr>
                <w:rFonts w:ascii="Times New Roman" w:eastAsia="Times New Roman" w:hAnsi="Times New Roman" w:cs="Times New Roman"/>
                <w:sz w:val="24"/>
                <w:szCs w:val="24"/>
                <w:lang w:eastAsia="tr-TR"/>
              </w:rPr>
              <w:t> </w:t>
            </w:r>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F6E2E">
              <w:rPr>
                <w:rFonts w:ascii="Times New Roman" w:eastAsia="Times New Roman" w:hAnsi="Times New Roman" w:cs="Times New Roman"/>
                <w:sz w:val="24"/>
                <w:szCs w:val="24"/>
                <w:lang w:eastAsia="tr-TR"/>
              </w:rPr>
              <w:t>Divan gerekesinde ayrıcı aşağıdaki hususlara değinmektedir.</w:t>
            </w:r>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F6E2E">
              <w:rPr>
                <w:rFonts w:ascii="Times New Roman" w:eastAsia="Times New Roman" w:hAnsi="Times New Roman" w:cs="Times New Roman"/>
                <w:sz w:val="24"/>
                <w:szCs w:val="24"/>
                <w:lang w:eastAsia="tr-TR"/>
              </w:rPr>
              <w:t> </w:t>
            </w:r>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F6E2E">
              <w:rPr>
                <w:rFonts w:ascii="Times New Roman" w:eastAsia="Times New Roman" w:hAnsi="Times New Roman" w:cs="Times New Roman"/>
                <w:sz w:val="24"/>
                <w:szCs w:val="24"/>
                <w:lang w:eastAsia="tr-TR"/>
              </w:rPr>
              <w:t xml:space="preserve">“Mevcut şartlarda kötüleştirme yapılamayacağı” kaydı ister yerleşme özgürlüğüyle bağlantılı olsun, isterse hizmetlerin serbest dolaşımıyla bağlantılı olsun, sadece iktisadi bir faaliyetin icrasıyla irtibatlı olarak bir Türk vatandaşının üye ülkelerin egemenlik sahasına girişini ve oradaki ikametini alakadar eder. </w:t>
            </w:r>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F6E2E">
              <w:rPr>
                <w:rFonts w:ascii="Times New Roman" w:eastAsia="Times New Roman" w:hAnsi="Times New Roman" w:cs="Times New Roman"/>
                <w:sz w:val="24"/>
                <w:szCs w:val="24"/>
                <w:lang w:eastAsia="tr-TR"/>
              </w:rPr>
              <w:t> </w:t>
            </w:r>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F6E2E">
              <w:rPr>
                <w:rFonts w:ascii="Times New Roman" w:eastAsia="Times New Roman" w:hAnsi="Times New Roman" w:cs="Times New Roman"/>
                <w:sz w:val="24"/>
                <w:szCs w:val="24"/>
                <w:lang w:eastAsia="tr-TR"/>
              </w:rPr>
              <w:t xml:space="preserve">Birlik hukukunda yer alan pasif hizmet serbestliği hakkı ise sınırlardan ve her türlü engellemelerden arındırılmış bir iç piyasanın ortaya çıkarılması hedefine istinat etmektedir. Keza bu hedef Birlik Anlaşması ile Ortaklık Anlaşması arasındaki farkı ortaya koymaktadır. Mevcut karar gerekçesinde de tespit edildiği üzere, Ortaklık Anlaşması ağırlıklı olarak iktisadi hedeflere odaklanmıştır. </w:t>
            </w:r>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F6E2E">
              <w:rPr>
                <w:rFonts w:ascii="Times New Roman" w:eastAsia="Times New Roman" w:hAnsi="Times New Roman" w:cs="Times New Roman"/>
                <w:sz w:val="24"/>
                <w:szCs w:val="24"/>
                <w:lang w:eastAsia="tr-TR"/>
              </w:rPr>
              <w:lastRenderedPageBreak/>
              <w:t> </w:t>
            </w:r>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F6E2E">
              <w:rPr>
                <w:rFonts w:ascii="Times New Roman" w:eastAsia="Times New Roman" w:hAnsi="Times New Roman" w:cs="Times New Roman"/>
                <w:sz w:val="24"/>
                <w:szCs w:val="24"/>
                <w:lang w:eastAsia="tr-TR"/>
              </w:rPr>
              <w:t xml:space="preserve">Ayrıca Ortaklık Anlaşması ve Katma Protokol hükümleri manasında hizmetlerin serbest dolaşımı kavramının yorumuna ve Birlik Anlaşması manasındaki yorumuna anlaşmaların zamanlaması bağlamında bakılması gerekir. </w:t>
            </w:r>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F6E2E">
              <w:rPr>
                <w:rFonts w:ascii="Times New Roman" w:eastAsia="Times New Roman" w:hAnsi="Times New Roman" w:cs="Times New Roman"/>
                <w:sz w:val="24"/>
                <w:szCs w:val="24"/>
                <w:lang w:eastAsia="tr-TR"/>
              </w:rPr>
              <w:t> </w:t>
            </w:r>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F6E2E">
              <w:rPr>
                <w:rFonts w:ascii="Times New Roman" w:eastAsia="Times New Roman" w:hAnsi="Times New Roman" w:cs="Times New Roman"/>
                <w:sz w:val="24"/>
                <w:szCs w:val="24"/>
                <w:lang w:eastAsia="tr-TR"/>
              </w:rPr>
              <w:t xml:space="preserve">Bu itibarla, Katma Protokol’ün 41/1. maddesinde öngörülen “kötüleştirmeme” kaydının kendiliğinden haklar yaratmadığının vurgulanması gerekir. Burada belli bir zaman zarfından itibaren her türlü yeni bir kısıtlayıcı tedbiri yasaklayan hüküm </w:t>
            </w:r>
            <w:proofErr w:type="spellStart"/>
            <w:r w:rsidRPr="008F6E2E">
              <w:rPr>
                <w:rFonts w:ascii="Times New Roman" w:eastAsia="Times New Roman" w:hAnsi="Times New Roman" w:cs="Times New Roman"/>
                <w:sz w:val="24"/>
                <w:szCs w:val="24"/>
                <w:lang w:eastAsia="tr-TR"/>
              </w:rPr>
              <w:t>sözkonusudur</w:t>
            </w:r>
            <w:proofErr w:type="spellEnd"/>
            <w:r w:rsidRPr="008F6E2E">
              <w:rPr>
                <w:rFonts w:ascii="Times New Roman" w:eastAsia="Times New Roman" w:hAnsi="Times New Roman" w:cs="Times New Roman"/>
                <w:sz w:val="24"/>
                <w:szCs w:val="24"/>
                <w:lang w:eastAsia="tr-TR"/>
              </w:rPr>
              <w:t xml:space="preserve">.  </w:t>
            </w:r>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F6E2E">
              <w:rPr>
                <w:rFonts w:ascii="Times New Roman" w:eastAsia="Times New Roman" w:hAnsi="Times New Roman" w:cs="Times New Roman"/>
                <w:sz w:val="24"/>
                <w:szCs w:val="24"/>
                <w:lang w:eastAsia="tr-TR"/>
              </w:rPr>
              <w:t> </w:t>
            </w:r>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F6E2E">
              <w:rPr>
                <w:rFonts w:ascii="Times New Roman" w:eastAsia="Times New Roman" w:hAnsi="Times New Roman" w:cs="Times New Roman"/>
                <w:sz w:val="24"/>
                <w:szCs w:val="24"/>
                <w:lang w:eastAsia="tr-TR"/>
              </w:rPr>
              <w:t xml:space="preserve">Görüş sunan hükümetlerin, AB Konseyi’nin ve Avrupa Komisyonunun da ifade ettikleri üzere, hizmetlerin serbest dolaşımı esas itibariyle özünde hizmet sunma serbestliği olarak tasarlanmıştır. Bu nedenledir ki, Divan 1984 yılında </w:t>
            </w:r>
            <w:proofErr w:type="spellStart"/>
            <w:r w:rsidRPr="008F6E2E">
              <w:rPr>
                <w:rFonts w:ascii="Times New Roman" w:eastAsia="Times New Roman" w:hAnsi="Times New Roman" w:cs="Times New Roman"/>
                <w:sz w:val="24"/>
                <w:szCs w:val="24"/>
                <w:lang w:eastAsia="tr-TR"/>
              </w:rPr>
              <w:t>Luisi</w:t>
            </w:r>
            <w:proofErr w:type="spellEnd"/>
            <w:r w:rsidRPr="008F6E2E">
              <w:rPr>
                <w:rFonts w:ascii="Times New Roman" w:eastAsia="Times New Roman" w:hAnsi="Times New Roman" w:cs="Times New Roman"/>
                <w:sz w:val="24"/>
                <w:szCs w:val="24"/>
                <w:lang w:eastAsia="tr-TR"/>
              </w:rPr>
              <w:t>/</w:t>
            </w:r>
            <w:proofErr w:type="spellStart"/>
            <w:r w:rsidRPr="008F6E2E">
              <w:rPr>
                <w:rFonts w:ascii="Times New Roman" w:eastAsia="Times New Roman" w:hAnsi="Times New Roman" w:cs="Times New Roman"/>
                <w:sz w:val="24"/>
                <w:szCs w:val="24"/>
                <w:lang w:eastAsia="tr-TR"/>
              </w:rPr>
              <w:t>Carbone</w:t>
            </w:r>
            <w:proofErr w:type="spellEnd"/>
            <w:r w:rsidRPr="008F6E2E">
              <w:rPr>
                <w:rFonts w:ascii="Times New Roman" w:eastAsia="Times New Roman" w:hAnsi="Times New Roman" w:cs="Times New Roman"/>
                <w:sz w:val="24"/>
                <w:szCs w:val="24"/>
                <w:lang w:eastAsia="tr-TR"/>
              </w:rPr>
              <w:t xml:space="preserve"> Davasında AB Anlaşması manasında hizmetlerin serbest dolaşımının pasif hizmet serbestliğini, yani hizmet alımı serbestliğini de kapsadığına karar vermiştir. </w:t>
            </w:r>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F6E2E">
              <w:rPr>
                <w:rFonts w:ascii="Times New Roman" w:eastAsia="Times New Roman" w:hAnsi="Times New Roman" w:cs="Times New Roman"/>
                <w:sz w:val="24"/>
                <w:szCs w:val="24"/>
                <w:lang w:eastAsia="tr-TR"/>
              </w:rPr>
              <w:t> </w:t>
            </w:r>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F6E2E">
              <w:rPr>
                <w:rFonts w:ascii="Times New Roman" w:eastAsia="Times New Roman" w:hAnsi="Times New Roman" w:cs="Times New Roman"/>
                <w:sz w:val="24"/>
                <w:szCs w:val="24"/>
                <w:lang w:eastAsia="tr-TR"/>
              </w:rPr>
              <w:t xml:space="preserve">Böylece Ortaklık Anlaşmasının ve Katma Protokol’ün taraflarının imza aşamasında hizmetlerin serbest dolaşımının pasif hizmet serbestisini de içerdiğinden hareket ettiklerine dair herhangi bir ipucu mevcut değildir. </w:t>
            </w:r>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F6E2E">
              <w:rPr>
                <w:rFonts w:ascii="Times New Roman" w:eastAsia="Times New Roman" w:hAnsi="Times New Roman" w:cs="Times New Roman"/>
                <w:sz w:val="24"/>
                <w:szCs w:val="24"/>
                <w:lang w:eastAsia="tr-TR"/>
              </w:rPr>
              <w:t> </w:t>
            </w:r>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F6E2E">
              <w:rPr>
                <w:rFonts w:ascii="Times New Roman" w:eastAsia="Times New Roman" w:hAnsi="Times New Roman" w:cs="Times New Roman"/>
                <w:sz w:val="24"/>
                <w:szCs w:val="24"/>
                <w:lang w:eastAsia="tr-TR"/>
              </w:rPr>
              <w:t xml:space="preserve">Diğer taraftan, Başsavcının 71 numaralı kenar başlığında da ifade ettiği üzere, Ortaklık Anlaşmasının taraflarının uygulaması tam aksi için ipuçları sunmaktadır. Çok sayıda üye devletler Katma Protokol yürürlüğe girdikten sonra Türk vatandaşlarının turistik ikametleri için vize mükellefiyeti getirmiş ve bu konuda Katma Protokol’ün 41/1. maddesi hükmünü bir engel olarak görmemiştir. Keza Türkiye de Ekim 1980’de 1973 yılından beri vize mükellefiyetinden muaf tutulan ve işçi olmayan Belçika ve Hollanda vatandaşları için bu muafiyeti kaldırmak suretiyle Belçika ve Hollanda vatandaşlarına karşı aynı tarzda işlem yapmıştır, yani vize mükellefiyeti öngörmüştür. </w:t>
            </w:r>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F6E2E">
              <w:rPr>
                <w:rFonts w:ascii="Times New Roman" w:eastAsia="Times New Roman" w:hAnsi="Times New Roman" w:cs="Times New Roman"/>
                <w:sz w:val="24"/>
                <w:szCs w:val="24"/>
                <w:lang w:eastAsia="tr-TR"/>
              </w:rPr>
              <w:t> </w:t>
            </w:r>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F6E2E">
              <w:rPr>
                <w:rFonts w:ascii="Times New Roman" w:eastAsia="Times New Roman" w:hAnsi="Times New Roman" w:cs="Times New Roman"/>
                <w:sz w:val="24"/>
                <w:szCs w:val="24"/>
                <w:lang w:eastAsia="tr-TR"/>
              </w:rPr>
              <w:t xml:space="preserve">Tüm bu izahata bağlı olarak, Divan’ın </w:t>
            </w:r>
            <w:proofErr w:type="spellStart"/>
            <w:r w:rsidRPr="008F6E2E">
              <w:rPr>
                <w:rFonts w:ascii="Times New Roman" w:eastAsia="Times New Roman" w:hAnsi="Times New Roman" w:cs="Times New Roman"/>
                <w:sz w:val="24"/>
                <w:szCs w:val="24"/>
                <w:lang w:eastAsia="tr-TR"/>
              </w:rPr>
              <w:t>Luisi</w:t>
            </w:r>
            <w:proofErr w:type="spellEnd"/>
            <w:r w:rsidRPr="008F6E2E">
              <w:rPr>
                <w:rFonts w:ascii="Times New Roman" w:eastAsia="Times New Roman" w:hAnsi="Times New Roman" w:cs="Times New Roman"/>
                <w:sz w:val="24"/>
                <w:szCs w:val="24"/>
                <w:lang w:eastAsia="tr-TR"/>
              </w:rPr>
              <w:t>/</w:t>
            </w:r>
            <w:proofErr w:type="spellStart"/>
            <w:r w:rsidRPr="008F6E2E">
              <w:rPr>
                <w:rFonts w:ascii="Times New Roman" w:eastAsia="Times New Roman" w:hAnsi="Times New Roman" w:cs="Times New Roman"/>
                <w:sz w:val="24"/>
                <w:szCs w:val="24"/>
                <w:lang w:eastAsia="tr-TR"/>
              </w:rPr>
              <w:t>Carbone</w:t>
            </w:r>
            <w:proofErr w:type="spellEnd"/>
            <w:r w:rsidRPr="008F6E2E">
              <w:rPr>
                <w:rFonts w:ascii="Times New Roman" w:eastAsia="Times New Roman" w:hAnsi="Times New Roman" w:cs="Times New Roman"/>
                <w:sz w:val="24"/>
                <w:szCs w:val="24"/>
                <w:lang w:eastAsia="tr-TR"/>
              </w:rPr>
              <w:t xml:space="preserve"> Kararında yaptığı Birlik Anlaşmasının 59. maddesine ilişkin yorumu, Ortaklık Anlaşması/Katma Protokol ile Birlik Anlaşmasının arasındaki amaç ve bağlam farklılığına istinaden, Katma Protokol’ün 41/1. maddesi hükmüne uygulanamaz. </w:t>
            </w:r>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F6E2E">
              <w:rPr>
                <w:rFonts w:ascii="Times New Roman" w:eastAsia="Times New Roman" w:hAnsi="Times New Roman" w:cs="Times New Roman"/>
                <w:sz w:val="24"/>
                <w:szCs w:val="24"/>
                <w:lang w:eastAsia="tr-TR"/>
              </w:rPr>
              <w:t> </w:t>
            </w:r>
          </w:p>
          <w:p w:rsidR="008F6E2E" w:rsidRPr="008F6E2E" w:rsidRDefault="008F6E2E" w:rsidP="008F6E2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F6E2E">
              <w:rPr>
                <w:rFonts w:ascii="Times New Roman" w:eastAsia="Times New Roman" w:hAnsi="Times New Roman" w:cs="Times New Roman"/>
                <w:sz w:val="24"/>
                <w:szCs w:val="24"/>
                <w:lang w:eastAsia="tr-TR"/>
              </w:rPr>
              <w:t>Tüm açıklanan nedenlerden dolayı, Katma Protokol’ün 41/1. maddesinde yer alan “hizmetlerin serbest dolaşımı” kavramının Türk vatandaşlarının bir üye devlette hizmet almak için bu üye devlete gidebilmesi serbestliğini kapsamadığı şeklinde cevaplandırmak gerekir.</w:t>
            </w:r>
          </w:p>
          <w:p w:rsidR="008F6E2E" w:rsidRPr="008F6E2E" w:rsidRDefault="008F6E2E" w:rsidP="008F6E2E">
            <w:pPr>
              <w:spacing w:after="100" w:line="240" w:lineRule="auto"/>
              <w:rPr>
                <w:rFonts w:ascii="Times New Roman" w:eastAsia="Times New Roman" w:hAnsi="Times New Roman" w:cs="Times New Roman"/>
                <w:sz w:val="24"/>
                <w:szCs w:val="24"/>
                <w:lang w:eastAsia="tr-TR"/>
              </w:rPr>
            </w:pPr>
            <w:r w:rsidRPr="008F6E2E">
              <w:rPr>
                <w:rFonts w:ascii="Times New Roman" w:eastAsia="Times New Roman" w:hAnsi="Times New Roman" w:cs="Times New Roman"/>
                <w:sz w:val="24"/>
                <w:szCs w:val="24"/>
                <w:lang w:eastAsia="tr-TR"/>
              </w:rPr>
              <w:lastRenderedPageBreak/>
              <w:t xml:space="preserve">Birinci soruya verilen olumsuz cevaptan sonra  Divan ikinci sorunun cevaplanmasına gerek görmemiştir. </w:t>
            </w:r>
          </w:p>
        </w:tc>
      </w:tr>
    </w:tbl>
    <w:p w:rsidR="00FA6F46" w:rsidRDefault="00FA6F46">
      <w:bookmarkStart w:id="0" w:name="_GoBack"/>
      <w:bookmarkEnd w:id="0"/>
    </w:p>
    <w:sectPr w:rsidR="00FA6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9E7"/>
    <w:rsid w:val="008F6E2E"/>
    <w:rsid w:val="00A579E7"/>
    <w:rsid w:val="00FA6F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16FDE-DFA6-49AE-8BB0-AC01DE9D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1">
    <w:name w:val="standard1"/>
    <w:basedOn w:val="Normal"/>
    <w:rsid w:val="008F6E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F6E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8F6E2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652325">
      <w:bodyDiv w:val="1"/>
      <w:marLeft w:val="0"/>
      <w:marRight w:val="0"/>
      <w:marTop w:val="0"/>
      <w:marBottom w:val="0"/>
      <w:divBdr>
        <w:top w:val="none" w:sz="0" w:space="0" w:color="auto"/>
        <w:left w:val="none" w:sz="0" w:space="0" w:color="auto"/>
        <w:bottom w:val="none" w:sz="0" w:space="0" w:color="auto"/>
        <w:right w:val="none" w:sz="0" w:space="0" w:color="auto"/>
      </w:divBdr>
      <w:divsChild>
        <w:div w:id="1677884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1411</Words>
  <Characters>8046</Characters>
  <Application>Microsoft Office Word</Application>
  <DocSecurity>0</DocSecurity>
  <Lines>67</Lines>
  <Paragraphs>18</Paragraphs>
  <ScaleCrop>false</ScaleCrop>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2018-02-07T08:47:00Z</dcterms:created>
  <dcterms:modified xsi:type="dcterms:W3CDTF">2018-02-07T08:48:00Z</dcterms:modified>
</cp:coreProperties>
</file>