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AE" w:rsidRPr="00145E55" w:rsidRDefault="001308AE" w:rsidP="001308AE">
      <w:pPr>
        <w:jc w:val="right"/>
        <w:rPr>
          <w:rFonts w:asciiTheme="minorHAnsi" w:hAnsiTheme="minorHAnsi" w:cstheme="minorBidi"/>
          <w:noProof/>
          <w:color w:val="1F497D"/>
          <w:lang w:val="en-GB"/>
        </w:rPr>
      </w:pPr>
    </w:p>
    <w:p w:rsidR="001308AE" w:rsidRPr="00145E55" w:rsidRDefault="001308AE" w:rsidP="001308AE">
      <w:pPr>
        <w:spacing w:before="100" w:beforeAutospacing="1" w:after="100" w:afterAutospacing="1"/>
        <w:rPr>
          <w:rFonts w:ascii="Arial" w:hAnsi="Arial" w:cs="Arial"/>
          <w:noProof/>
          <w:sz w:val="24"/>
          <w:szCs w:val="24"/>
          <w:lang w:val="en-GB" w:eastAsia="tr-TR"/>
        </w:rPr>
      </w:pPr>
      <w:bookmarkStart w:id="0" w:name="_MailOriginal"/>
      <w:r w:rsidRPr="00145E55">
        <w:rPr>
          <w:rFonts w:ascii="Arial" w:hAnsi="Arial" w:cs="Arial"/>
          <w:noProof/>
          <w:sz w:val="24"/>
          <w:szCs w:val="24"/>
          <w:lang w:val="en-GB" w:eastAsia="tr-TR"/>
        </w:rPr>
        <w:t>Procurement Notice for Turkiye - P171471 - Support for Transition to Labor Market Project</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b/>
          <w:bCs/>
          <w:noProof/>
          <w:sz w:val="24"/>
          <w:szCs w:val="24"/>
          <w:lang w:val="en-GB" w:eastAsia="tr-TR"/>
        </w:rPr>
        <w:t xml:space="preserve">Country: </w:t>
      </w:r>
      <w:r w:rsidRPr="00145E55">
        <w:rPr>
          <w:rFonts w:ascii="Arial" w:hAnsi="Arial" w:cs="Arial"/>
          <w:noProof/>
          <w:sz w:val="24"/>
          <w:szCs w:val="24"/>
          <w:lang w:val="en-GB" w:eastAsia="tr-TR"/>
        </w:rPr>
        <w:t>Turkiye</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b/>
          <w:bCs/>
          <w:noProof/>
          <w:sz w:val="24"/>
          <w:szCs w:val="24"/>
          <w:lang w:val="en-GB" w:eastAsia="tr-TR"/>
        </w:rPr>
        <w:t xml:space="preserve">Project Id: </w:t>
      </w:r>
      <w:r w:rsidRPr="00145E55">
        <w:rPr>
          <w:rFonts w:ascii="Arial" w:hAnsi="Arial" w:cs="Arial"/>
          <w:noProof/>
          <w:sz w:val="24"/>
          <w:szCs w:val="24"/>
          <w:lang w:val="en-GB" w:eastAsia="tr-TR"/>
        </w:rPr>
        <w:t>P171471</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b/>
          <w:bCs/>
          <w:noProof/>
          <w:sz w:val="24"/>
          <w:szCs w:val="24"/>
          <w:lang w:val="en-GB" w:eastAsia="tr-TR"/>
        </w:rPr>
        <w:t xml:space="preserve">Project Name: </w:t>
      </w:r>
      <w:r w:rsidRPr="00145E55">
        <w:rPr>
          <w:rFonts w:ascii="Arial" w:hAnsi="Arial" w:cs="Arial"/>
          <w:noProof/>
          <w:sz w:val="24"/>
          <w:szCs w:val="24"/>
          <w:lang w:val="en-GB" w:eastAsia="tr-TR"/>
        </w:rPr>
        <w:t>Support for Transition to Labor Market Project</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b/>
          <w:bCs/>
          <w:noProof/>
          <w:sz w:val="24"/>
          <w:szCs w:val="24"/>
          <w:lang w:val="en-GB" w:eastAsia="tr-TR"/>
        </w:rPr>
        <w:t xml:space="preserve">Loan/Credit/TF Info.: </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b/>
          <w:bCs/>
          <w:noProof/>
          <w:sz w:val="24"/>
          <w:szCs w:val="24"/>
          <w:lang w:val="en-GB" w:eastAsia="tr-TR"/>
        </w:rPr>
        <w:t xml:space="preserve">Notice Version No.: </w:t>
      </w:r>
      <w:r w:rsidRPr="00145E55">
        <w:rPr>
          <w:rFonts w:ascii="Arial" w:hAnsi="Arial" w:cs="Arial"/>
          <w:noProof/>
          <w:sz w:val="24"/>
          <w:szCs w:val="24"/>
          <w:lang w:val="en-GB" w:eastAsia="tr-TR"/>
        </w:rPr>
        <w:t>1</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b/>
          <w:bCs/>
          <w:noProof/>
          <w:sz w:val="24"/>
          <w:szCs w:val="24"/>
          <w:lang w:val="en-GB" w:eastAsia="tr-TR"/>
        </w:rPr>
        <w:t>General Information</w:t>
      </w:r>
    </w:p>
    <w:tbl>
      <w:tblPr>
        <w:tblW w:w="0" w:type="auto"/>
        <w:tblCellMar>
          <w:left w:w="0" w:type="dxa"/>
          <w:right w:w="0" w:type="dxa"/>
        </w:tblCellMar>
        <w:tblLook w:val="04A0" w:firstRow="1" w:lastRow="0" w:firstColumn="1" w:lastColumn="0" w:noHBand="0" w:noVBand="1"/>
      </w:tblPr>
      <w:tblGrid>
        <w:gridCol w:w="4915"/>
        <w:gridCol w:w="2776"/>
      </w:tblGrid>
      <w:tr w:rsidR="001308AE" w:rsidRPr="00145E55" w:rsidTr="001308A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Notice Type</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General Procurement Notice</w:t>
            </w: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Borrower Bid Reference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Bid Description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Language of Notice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English</w:t>
            </w: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Deadline for Application Submission Date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Local Time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Selected category codes for product to be procured</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w:t>
            </w:r>
          </w:p>
        </w:tc>
      </w:tr>
    </w:tbl>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b/>
          <w:bCs/>
          <w:noProof/>
          <w:sz w:val="24"/>
          <w:szCs w:val="24"/>
          <w:lang w:val="en-GB" w:eastAsia="tr-TR"/>
        </w:rPr>
        <w:t>Contact Information on Advertisement</w:t>
      </w:r>
    </w:p>
    <w:tbl>
      <w:tblPr>
        <w:tblW w:w="0" w:type="auto"/>
        <w:tblCellMar>
          <w:left w:w="0" w:type="dxa"/>
          <w:right w:w="0" w:type="dxa"/>
        </w:tblCellMar>
        <w:tblLook w:val="04A0" w:firstRow="1" w:lastRow="0" w:firstColumn="1" w:lastColumn="0" w:noHBand="0" w:noVBand="1"/>
      </w:tblPr>
      <w:tblGrid>
        <w:gridCol w:w="2483"/>
        <w:gridCol w:w="6569"/>
      </w:tblGrid>
      <w:tr w:rsidR="001308AE" w:rsidRPr="00145E55" w:rsidTr="001308AE">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Organization/Department</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 xml:space="preserve">MoLSS General Directorate on International Labour Force (DGILF) </w:t>
            </w: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Name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Enes YALCIN</w:t>
            </w: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Title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Assistant Labour Expert</w:t>
            </w: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Address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MoLSS DGILF Bosna Hersek Cad. No:29 Emek/Cankaya /Ankara/Turkiye 06500</w:t>
            </w: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City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Province/State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Postal Code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Country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Turkey</w:t>
            </w: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Phone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+90 312 296 76 36</w:t>
            </w: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Fax</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+90 312 223 67 37</w:t>
            </w:r>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Email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0079D8">
            <w:pPr>
              <w:rPr>
                <w:rFonts w:ascii="Times New Roman" w:hAnsi="Times New Roman" w:cs="Times New Roman"/>
                <w:noProof/>
                <w:sz w:val="24"/>
                <w:szCs w:val="24"/>
                <w:lang w:val="en-GB" w:eastAsia="tr-TR"/>
              </w:rPr>
            </w:pPr>
            <w:hyperlink r:id="rId4" w:history="1">
              <w:r w:rsidR="001308AE" w:rsidRPr="00145E55">
                <w:rPr>
                  <w:rStyle w:val="Kpr"/>
                  <w:rFonts w:ascii="Times New Roman" w:hAnsi="Times New Roman" w:cs="Times New Roman"/>
                  <w:noProof/>
                  <w:sz w:val="24"/>
                  <w:szCs w:val="24"/>
                  <w:lang w:val="en-GB" w:eastAsia="tr-TR"/>
                </w:rPr>
                <w:t>istihdam.destegi@csgb.gov.tr</w:t>
              </w:r>
            </w:hyperlink>
          </w:p>
        </w:tc>
      </w:tr>
      <w:tr w:rsidR="001308AE" w:rsidRPr="00145E55" w:rsidTr="001308AE">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1308AE">
            <w:pPr>
              <w:rPr>
                <w:rFonts w:ascii="Times New Roman" w:hAnsi="Times New Roman" w:cs="Times New Roman"/>
                <w:noProof/>
                <w:sz w:val="24"/>
                <w:szCs w:val="24"/>
                <w:lang w:val="en-GB" w:eastAsia="tr-TR"/>
              </w:rPr>
            </w:pPr>
            <w:r w:rsidRPr="00145E55">
              <w:rPr>
                <w:rFonts w:ascii="Times New Roman" w:hAnsi="Times New Roman" w:cs="Times New Roman"/>
                <w:noProof/>
                <w:sz w:val="24"/>
                <w:szCs w:val="24"/>
                <w:lang w:val="en-GB" w:eastAsia="tr-TR"/>
              </w:rPr>
              <w:t>Website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1308AE" w:rsidRPr="00145E55" w:rsidRDefault="000079D8">
            <w:pPr>
              <w:rPr>
                <w:rFonts w:ascii="Times New Roman" w:hAnsi="Times New Roman" w:cs="Times New Roman"/>
                <w:noProof/>
                <w:sz w:val="24"/>
                <w:szCs w:val="24"/>
                <w:lang w:val="en-GB" w:eastAsia="tr-TR"/>
              </w:rPr>
            </w:pPr>
            <w:hyperlink r:id="rId5" w:history="1">
              <w:r w:rsidR="001308AE" w:rsidRPr="00145E55">
                <w:rPr>
                  <w:rStyle w:val="Kpr"/>
                  <w:rFonts w:ascii="Times New Roman" w:hAnsi="Times New Roman" w:cs="Times New Roman"/>
                  <w:noProof/>
                  <w:sz w:val="24"/>
                  <w:szCs w:val="24"/>
                  <w:lang w:val="en-GB" w:eastAsia="tr-TR"/>
                </w:rPr>
                <w:t>www.csgb.gov.tr</w:t>
              </w:r>
            </w:hyperlink>
          </w:p>
        </w:tc>
      </w:tr>
    </w:tbl>
    <w:p w:rsidR="001308AE" w:rsidRPr="00145E55" w:rsidRDefault="001308AE" w:rsidP="001308AE">
      <w:pPr>
        <w:spacing w:before="100" w:beforeAutospacing="1" w:after="100" w:afterAutospacing="1"/>
        <w:rPr>
          <w:rFonts w:ascii="Arial" w:hAnsi="Arial" w:cs="Arial"/>
          <w:b/>
          <w:bCs/>
          <w:noProof/>
          <w:sz w:val="24"/>
          <w:szCs w:val="24"/>
          <w:lang w:val="en-GB" w:eastAsia="tr-TR"/>
        </w:rPr>
      </w:pPr>
    </w:p>
    <w:p w:rsidR="001308AE" w:rsidRPr="00145E55" w:rsidRDefault="001308AE" w:rsidP="001308AE">
      <w:pPr>
        <w:spacing w:before="100" w:beforeAutospacing="1" w:after="100" w:afterAutospacing="1"/>
        <w:rPr>
          <w:rFonts w:ascii="Arial" w:hAnsi="Arial" w:cs="Arial"/>
          <w:b/>
          <w:bCs/>
          <w:noProof/>
          <w:sz w:val="24"/>
          <w:szCs w:val="24"/>
          <w:lang w:val="en-GB" w:eastAsia="tr-TR"/>
        </w:rPr>
      </w:pPr>
    </w:p>
    <w:p w:rsidR="001308AE" w:rsidRPr="00145E55" w:rsidRDefault="001308AE" w:rsidP="001308AE">
      <w:pPr>
        <w:spacing w:before="100" w:beforeAutospacing="1" w:after="100" w:afterAutospacing="1"/>
        <w:rPr>
          <w:rFonts w:ascii="Arial" w:hAnsi="Arial" w:cs="Arial"/>
          <w:noProof/>
          <w:sz w:val="24"/>
          <w:szCs w:val="24"/>
          <w:lang w:val="en-GB" w:eastAsia="tr-TR"/>
        </w:rPr>
      </w:pPr>
      <w:bookmarkStart w:id="1" w:name="_GoBack"/>
      <w:bookmarkEnd w:id="1"/>
      <w:r w:rsidRPr="00145E55">
        <w:rPr>
          <w:rFonts w:ascii="Arial" w:hAnsi="Arial" w:cs="Arial"/>
          <w:b/>
          <w:bCs/>
          <w:noProof/>
          <w:sz w:val="24"/>
          <w:szCs w:val="24"/>
          <w:lang w:val="en-GB" w:eastAsia="tr-TR"/>
        </w:rPr>
        <w:t>Detailed Information for Advertisement</w:t>
      </w:r>
    </w:p>
    <w:p w:rsidR="001308AE" w:rsidRPr="00145E55" w:rsidRDefault="001308AE" w:rsidP="000079D8">
      <w:pPr>
        <w:spacing w:before="100" w:beforeAutospacing="1" w:after="100" w:afterAutospacing="1"/>
        <w:jc w:val="center"/>
        <w:rPr>
          <w:rFonts w:ascii="Arial" w:hAnsi="Arial" w:cs="Arial"/>
          <w:noProof/>
          <w:sz w:val="24"/>
          <w:szCs w:val="24"/>
          <w:lang w:val="en-GB" w:eastAsia="tr-TR"/>
        </w:rPr>
      </w:pPr>
      <w:r w:rsidRPr="00145E55">
        <w:rPr>
          <w:rFonts w:ascii="Arial" w:hAnsi="Arial" w:cs="Arial"/>
          <w:b/>
          <w:bCs/>
          <w:noProof/>
          <w:sz w:val="24"/>
          <w:szCs w:val="24"/>
          <w:lang w:val="en-GB" w:eastAsia="tr-TR"/>
        </w:rPr>
        <w:lastRenderedPageBreak/>
        <w:t>GENERAL PROCUREMENT NOTICE</w:t>
      </w:r>
    </w:p>
    <w:p w:rsidR="001308AE" w:rsidRPr="00145E55" w:rsidRDefault="001308AE" w:rsidP="000079D8">
      <w:pPr>
        <w:spacing w:before="100" w:beforeAutospacing="1" w:after="100" w:afterAutospacing="1"/>
        <w:jc w:val="center"/>
        <w:rPr>
          <w:rFonts w:ascii="Arial" w:hAnsi="Arial" w:cs="Arial"/>
          <w:noProof/>
          <w:sz w:val="24"/>
          <w:szCs w:val="24"/>
          <w:lang w:val="en-GB" w:eastAsia="tr-TR"/>
        </w:rPr>
      </w:pPr>
      <w:r w:rsidRPr="00145E55">
        <w:rPr>
          <w:rFonts w:ascii="Arial" w:hAnsi="Arial" w:cs="Arial"/>
          <w:b/>
          <w:bCs/>
          <w:noProof/>
          <w:sz w:val="24"/>
          <w:szCs w:val="24"/>
          <w:lang w:val="en-GB" w:eastAsia="tr-TR"/>
        </w:rPr>
        <w:t>REPUBLIC OF TURKIYE –</w:t>
      </w:r>
    </w:p>
    <w:p w:rsidR="001308AE" w:rsidRPr="00145E55" w:rsidRDefault="001308AE" w:rsidP="000079D8">
      <w:pPr>
        <w:spacing w:before="100" w:beforeAutospacing="1" w:after="100" w:afterAutospacing="1"/>
        <w:jc w:val="center"/>
        <w:rPr>
          <w:rFonts w:ascii="Arial" w:hAnsi="Arial" w:cs="Arial"/>
          <w:noProof/>
          <w:sz w:val="24"/>
          <w:szCs w:val="24"/>
          <w:lang w:val="en-GB" w:eastAsia="tr-TR"/>
        </w:rPr>
      </w:pPr>
      <w:r w:rsidRPr="00145E55">
        <w:rPr>
          <w:rFonts w:ascii="Arial" w:hAnsi="Arial" w:cs="Arial"/>
          <w:b/>
          <w:bCs/>
          <w:noProof/>
          <w:sz w:val="24"/>
          <w:szCs w:val="24"/>
          <w:lang w:val="en-GB" w:eastAsia="tr-TR"/>
        </w:rPr>
        <w:t>SUPPORT FOR TRANSITION TO LABOR MARKET PROJECT</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Social Protection and Jobs</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TF No: TF0B7815</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Project ID No. P171471</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The Republic of Turkiye has been allocated grant funds (the "Grant") in the amount of EUR 61 million equivalent toward the cost of </w:t>
      </w:r>
      <w:r w:rsidRPr="00145E55">
        <w:rPr>
          <w:rFonts w:ascii="Arial" w:hAnsi="Arial" w:cs="Arial"/>
          <w:b/>
          <w:bCs/>
          <w:noProof/>
          <w:sz w:val="24"/>
          <w:szCs w:val="24"/>
          <w:lang w:val="en-GB" w:eastAsia="tr-TR"/>
        </w:rPr>
        <w:t>Support for Transition to Labor Market Project</w:t>
      </w:r>
      <w:r w:rsidRPr="00145E55">
        <w:rPr>
          <w:rFonts w:ascii="Arial" w:hAnsi="Arial" w:cs="Arial"/>
          <w:noProof/>
          <w:sz w:val="24"/>
          <w:szCs w:val="24"/>
          <w:lang w:val="en-GB" w:eastAsia="tr-TR"/>
        </w:rPr>
        <w:t>, and it intends to apply part of the proceeds to payments for goods, works, non-consulting and consulting services which will be implemented by the Ministry of Labour and Social Security (MoLSS) and Turkish Employment Agency (ISKUR). The contracts will be financed under the EU's FRIT Programme for Turkiye. The World Bank shall be acting as the administrator of grant funds provided by the European Commission Development Fund (ECDF).</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The project will include the following components:</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b/>
          <w:bCs/>
          <w:noProof/>
          <w:sz w:val="24"/>
          <w:szCs w:val="24"/>
          <w:lang w:val="en-GB" w:eastAsia="tr-TR"/>
        </w:rPr>
        <w:t>Part 1. Support for Counselling Services and Employment Support</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Provision by, ISKUR</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i/>
          <w:iCs/>
          <w:noProof/>
          <w:sz w:val="24"/>
          <w:szCs w:val="24"/>
          <w:lang w:val="en-GB" w:eastAsia="tr-TR"/>
        </w:rPr>
        <w:t>     (i) Job and Vocational Counselling Service </w:t>
      </w:r>
      <w:r w:rsidRPr="00145E55">
        <w:rPr>
          <w:rFonts w:ascii="Arial" w:hAnsi="Arial" w:cs="Arial"/>
          <w:noProof/>
          <w:sz w:val="24"/>
          <w:szCs w:val="24"/>
          <w:lang w:val="en-GB" w:eastAsia="tr-TR"/>
        </w:rPr>
        <w:t>(i) Registration by job and vocational counsellors of Project Beneficiaries; and (ii) carrying out of an assessment for placement of Project Beneficiaries into Applied Training Programs or matching with a suitable job.</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i/>
          <w:iCs/>
          <w:noProof/>
          <w:sz w:val="24"/>
          <w:szCs w:val="24"/>
          <w:lang w:val="en-GB" w:eastAsia="tr-TR"/>
        </w:rPr>
        <w:t>     (ii) Applied Training Program.</w:t>
      </w:r>
      <w:r w:rsidRPr="00145E55">
        <w:rPr>
          <w:rFonts w:ascii="Arial" w:hAnsi="Arial" w:cs="Arial"/>
          <w:noProof/>
          <w:sz w:val="24"/>
          <w:szCs w:val="24"/>
          <w:lang w:val="en-GB" w:eastAsia="tr-TR"/>
        </w:rPr>
        <w:t> (i) Provision of applied training by eligible employers selected in accordance with criteria set forth in the POM; (ii) matching by job and vocational counsellors of Project Beneficiaries with interested employers; and (iii) financing of Applied Training Program Payments.</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b/>
          <w:bCs/>
          <w:noProof/>
          <w:sz w:val="24"/>
          <w:szCs w:val="24"/>
          <w:lang w:val="en-GB" w:eastAsia="tr-TR"/>
        </w:rPr>
        <w:t>Part 2. Support for Delivery of Employment Services</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i/>
          <w:iCs/>
          <w:noProof/>
          <w:sz w:val="24"/>
          <w:szCs w:val="24"/>
          <w:lang w:val="en-GB" w:eastAsia="tr-TR"/>
        </w:rPr>
        <w:t>      (a) </w:t>
      </w:r>
      <w:r w:rsidRPr="00145E55">
        <w:rPr>
          <w:rFonts w:ascii="Arial" w:hAnsi="Arial" w:cs="Arial"/>
          <w:i/>
          <w:iCs/>
          <w:noProof/>
          <w:sz w:val="24"/>
          <w:szCs w:val="24"/>
          <w:u w:val="single"/>
          <w:lang w:val="en-GB" w:eastAsia="tr-TR"/>
        </w:rPr>
        <w:t>Monitoring and Evaluation, Data Management, Communication, and Project Management</w:t>
      </w:r>
      <w:r w:rsidRPr="00145E55">
        <w:rPr>
          <w:rFonts w:ascii="Arial" w:hAnsi="Arial" w:cs="Arial"/>
          <w:i/>
          <w:iCs/>
          <w:noProof/>
          <w:sz w:val="24"/>
          <w:szCs w:val="24"/>
          <w:lang w:val="en-GB" w:eastAsia="tr-TR"/>
        </w:rPr>
        <w:t>. </w:t>
      </w:r>
      <w:r w:rsidRPr="00145E55">
        <w:rPr>
          <w:rFonts w:ascii="Arial" w:hAnsi="Arial" w:cs="Arial"/>
          <w:noProof/>
          <w:sz w:val="24"/>
          <w:szCs w:val="24"/>
          <w:lang w:val="en-GB" w:eastAsia="tr-TR"/>
        </w:rPr>
        <w:t>Supporting, respectively, the Recipient, İŞKUR, </w:t>
      </w:r>
      <w:r w:rsidRPr="00145E55">
        <w:rPr>
          <w:rFonts w:ascii="Arial" w:hAnsi="Arial" w:cs="Arial"/>
          <w:i/>
          <w:iCs/>
          <w:noProof/>
          <w:sz w:val="24"/>
          <w:szCs w:val="24"/>
          <w:lang w:val="en-GB" w:eastAsia="tr-TR"/>
        </w:rPr>
        <w:t>inter alia:</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(i) For the MoLSS:</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a. Improvement of data systems, management and analytics capacity;  </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xml:space="preserve">                   b. Establishing a Project implementation unit (“MoLSS-PIU”) for the implementation, and a Steering Committee for the monitoring, of Project activities, </w:t>
      </w:r>
      <w:r w:rsidRPr="00145E55">
        <w:rPr>
          <w:rFonts w:ascii="Arial" w:hAnsi="Arial" w:cs="Arial"/>
          <w:noProof/>
          <w:sz w:val="24"/>
          <w:szCs w:val="24"/>
          <w:lang w:val="en-GB" w:eastAsia="tr-TR"/>
        </w:rPr>
        <w:lastRenderedPageBreak/>
        <w:t>including in the areas of financial management, Project audits, and financing of incremental operating costs, procurement, disbursement, and social and environmental protection; and</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c. Provision of assistance and coordination to carry out monitoring and evaluation of Project activities, including data collection and preparation of reports, in support of the related results framework under the Facility for Refugees in Turkey</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(ii) For ISKUR:</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a. Improvement of data systems, management and analytics capacity;  </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b. Monitoring and evaluation, information dissemination activities, and analysis related to the transition of Project Beneficiaries selected pursuant to criteria set forth in the POM into sustainable livelihoods;</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c. Carrying out evaluations and Project Beneficiary assessments to track Project Beneficiary feedback, if needed, for further adjustments in the provision of services, as set out in the POM;</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d. Development and implementation of a communication strategy targeting the broader public, jobseekers and employers to ensure adequate information dissemination on available services and products offered through the Project;</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e. Establishing the İŞKUR-PIU and provision of Project management support to the Recipient and the Steering Committee for the monitoring of Project activities, including in the areas of financial management, Project audits, and financing of incremental operating costs, procurement, disbursement, and social and environmental protection; and</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f. Provision of assistance to carry out monitoring and evaluation of Project activities, including data collection and preparation of reports, in support of the related results framework under the Facility for Refugees in Turkiye.</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The procurement activities under the Project consists of:</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A. Recruitment of Consulting Firm/s to prepare the Project Communication &amp; Outreach Strategy and to conduct Communication and Visibility Activities</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B. Non-consulting services for organizational and logistical services of training/s, workshop/s, event/s, meeting/s etc.;</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C. Goods contracts for IT equipment, furniture and etc. for the MoLSS and ISKUR;</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D. Small Refurbishment Works in Project Locations.</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xml:space="preserve">Procurement of contracts financed by the World Bank will be conducted through the procedures as specified in the World Bank's Procurement Regulations for IPF </w:t>
      </w:r>
      <w:r w:rsidRPr="00145E55">
        <w:rPr>
          <w:rFonts w:ascii="Arial" w:hAnsi="Arial" w:cs="Arial"/>
          <w:noProof/>
          <w:sz w:val="24"/>
          <w:szCs w:val="24"/>
          <w:lang w:val="en-GB" w:eastAsia="tr-TR"/>
        </w:rPr>
        <w:lastRenderedPageBreak/>
        <w:t>Borrowers (November 2020) (Procurement Regulations) and is open to all eligible firms and individuals as defined in the Procurement Regulations. The World Bank shall arrange the publication on its external website of the agreed initial procurement plan and all subsequent updates once it has provided a “</w:t>
      </w:r>
      <w:r w:rsidRPr="00145E55">
        <w:rPr>
          <w:rFonts w:ascii="Arial" w:hAnsi="Arial" w:cs="Arial"/>
          <w:i/>
          <w:iCs/>
          <w:noProof/>
          <w:sz w:val="24"/>
          <w:szCs w:val="24"/>
          <w:lang w:val="en-GB" w:eastAsia="tr-TR"/>
        </w:rPr>
        <w:t>no objection</w:t>
      </w:r>
      <w:r w:rsidRPr="00145E55">
        <w:rPr>
          <w:rFonts w:ascii="Arial" w:hAnsi="Arial" w:cs="Arial"/>
          <w:noProof/>
          <w:sz w:val="24"/>
          <w:szCs w:val="24"/>
          <w:lang w:val="en-GB" w:eastAsia="tr-TR"/>
        </w:rPr>
        <w:t>”.</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xml:space="preserve">Procurements under this Project are subject to “Bank Guidance - Procurement in Situations of Urgent need of Assistance or Capacity Constraints” available at </w:t>
      </w:r>
      <w:hyperlink r:id="rId6" w:history="1">
        <w:r w:rsidRPr="00145E55">
          <w:rPr>
            <w:rStyle w:val="Kpr"/>
            <w:rFonts w:ascii="Arial" w:hAnsi="Arial" w:cs="Arial"/>
            <w:noProof/>
            <w:sz w:val="24"/>
            <w:szCs w:val="24"/>
            <w:lang w:val="en-GB" w:eastAsia="tr-TR"/>
          </w:rPr>
          <w:t>www.worldbank.org/procurement</w:t>
        </w:r>
      </w:hyperlink>
      <w:r w:rsidRPr="00145E55">
        <w:rPr>
          <w:rFonts w:ascii="Arial" w:hAnsi="Arial" w:cs="Arial"/>
          <w:noProof/>
          <w:sz w:val="24"/>
          <w:szCs w:val="24"/>
          <w:lang w:val="en-GB" w:eastAsia="tr-TR"/>
        </w:rPr>
        <w:t>.</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Specific procurement notices for contracts subject to open international competitive procurement will be announced, as they become available, in UN Development Business online, on the World Bank's external website and the IAs’ websites respectively (</w:t>
      </w:r>
      <w:hyperlink r:id="rId7" w:history="1">
        <w:r w:rsidRPr="00145E55">
          <w:rPr>
            <w:rStyle w:val="Kpr"/>
            <w:rFonts w:ascii="Arial" w:hAnsi="Arial" w:cs="Arial"/>
            <w:noProof/>
            <w:sz w:val="24"/>
            <w:szCs w:val="24"/>
            <w:lang w:val="en-GB" w:eastAsia="tr-TR"/>
          </w:rPr>
          <w:t>www.csgb.gov.tr</w:t>
        </w:r>
      </w:hyperlink>
      <w:r w:rsidRPr="00145E55">
        <w:rPr>
          <w:rFonts w:ascii="Arial" w:hAnsi="Arial" w:cs="Arial"/>
          <w:noProof/>
          <w:sz w:val="24"/>
          <w:szCs w:val="24"/>
          <w:lang w:val="en-GB" w:eastAsia="tr-TR"/>
        </w:rPr>
        <w:t xml:space="preserve"> or </w:t>
      </w:r>
      <w:hyperlink r:id="rId8" w:history="1">
        <w:r w:rsidRPr="00145E55">
          <w:rPr>
            <w:rStyle w:val="Kpr"/>
            <w:rFonts w:ascii="Arial" w:hAnsi="Arial" w:cs="Arial"/>
            <w:noProof/>
            <w:sz w:val="24"/>
            <w:szCs w:val="24"/>
            <w:lang w:val="en-GB" w:eastAsia="tr-TR"/>
          </w:rPr>
          <w:t>www.iskur.gov.tr</w:t>
        </w:r>
      </w:hyperlink>
      <w:r w:rsidRPr="00145E55">
        <w:rPr>
          <w:rFonts w:ascii="Arial" w:hAnsi="Arial" w:cs="Arial"/>
          <w:noProof/>
          <w:sz w:val="24"/>
          <w:szCs w:val="24"/>
          <w:u w:val="single"/>
          <w:lang w:val="en-GB" w:eastAsia="tr-TR"/>
        </w:rPr>
        <w:t>)</w:t>
      </w:r>
      <w:r w:rsidRPr="00145E55">
        <w:rPr>
          <w:rFonts w:ascii="Arial" w:hAnsi="Arial" w:cs="Arial"/>
          <w:noProof/>
          <w:sz w:val="24"/>
          <w:szCs w:val="24"/>
          <w:lang w:val="en-GB" w:eastAsia="tr-TR"/>
        </w:rPr>
        <w:t xml:space="preserve"> and  in the official gazette or in a newspaper of national circulation in the Recipient’s country .</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xml:space="preserve">Other open procurements at national level, specific procurement notices will be announced as they become available in </w:t>
      </w:r>
      <w:hyperlink r:id="rId9" w:history="1">
        <w:r w:rsidRPr="00145E55">
          <w:rPr>
            <w:rStyle w:val="Kpr"/>
            <w:rFonts w:ascii="Arial" w:hAnsi="Arial" w:cs="Arial"/>
            <w:noProof/>
            <w:sz w:val="24"/>
            <w:szCs w:val="24"/>
            <w:lang w:val="en-GB" w:eastAsia="tr-TR"/>
          </w:rPr>
          <w:t>www.csgb.gov.tr</w:t>
        </w:r>
      </w:hyperlink>
      <w:r w:rsidRPr="00145E55">
        <w:rPr>
          <w:rFonts w:ascii="Arial" w:hAnsi="Arial" w:cs="Arial"/>
          <w:i/>
          <w:iCs/>
          <w:noProof/>
          <w:sz w:val="24"/>
          <w:szCs w:val="24"/>
          <w:lang w:val="en-GB" w:eastAsia="tr-TR"/>
        </w:rPr>
        <w:t> </w:t>
      </w:r>
      <w:r w:rsidRPr="00145E55">
        <w:rPr>
          <w:rFonts w:ascii="Arial" w:hAnsi="Arial" w:cs="Arial"/>
          <w:noProof/>
          <w:sz w:val="24"/>
          <w:szCs w:val="24"/>
          <w:lang w:val="en-GB" w:eastAsia="tr-TR"/>
        </w:rPr>
        <w:t>or</w:t>
      </w:r>
      <w:r w:rsidRPr="00145E55">
        <w:rPr>
          <w:rFonts w:ascii="Arial" w:hAnsi="Arial" w:cs="Arial"/>
          <w:i/>
          <w:iCs/>
          <w:noProof/>
          <w:sz w:val="24"/>
          <w:szCs w:val="24"/>
          <w:lang w:val="en-GB" w:eastAsia="tr-TR"/>
        </w:rPr>
        <w:t xml:space="preserve"> </w:t>
      </w:r>
      <w:hyperlink r:id="rId10" w:history="1">
        <w:r w:rsidRPr="00145E55">
          <w:rPr>
            <w:rStyle w:val="Kpr"/>
            <w:rFonts w:ascii="Arial" w:hAnsi="Arial" w:cs="Arial"/>
            <w:noProof/>
            <w:sz w:val="24"/>
            <w:szCs w:val="24"/>
            <w:lang w:val="en-GB" w:eastAsia="tr-TR"/>
          </w:rPr>
          <w:t>www.iskur.gov.tr</w:t>
        </w:r>
      </w:hyperlink>
      <w:r w:rsidRPr="00145E55">
        <w:rPr>
          <w:rFonts w:ascii="Arial" w:hAnsi="Arial" w:cs="Arial"/>
          <w:i/>
          <w:iCs/>
          <w:noProof/>
          <w:sz w:val="24"/>
          <w:szCs w:val="24"/>
          <w:lang w:val="en-GB" w:eastAsia="tr-TR"/>
        </w:rPr>
        <w:t> </w:t>
      </w:r>
      <w:r w:rsidRPr="00145E55">
        <w:rPr>
          <w:rFonts w:ascii="Arial" w:hAnsi="Arial" w:cs="Arial"/>
          <w:noProof/>
          <w:sz w:val="24"/>
          <w:szCs w:val="24"/>
          <w:lang w:val="en-GB" w:eastAsia="tr-TR"/>
        </w:rPr>
        <w:t>and in the national gazette or in a newspaper of national circulation in the Recipient’s country.</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Interested eligible firms and individuals who would wish to be considered for the provision of goods, works, non-consulting services and consulting services for the above-mentioned project, or those requiring additional information, should contact the Recipients at the addresses below:</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w:t>
      </w: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lastRenderedPageBreak/>
        <w:t>Ministry of Labour and Social Security (MoLSS) - General Directorate on International Labour Force (DGILF)</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Mr.  Enes YALCIN</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MoLSS DGILF, Assistant Labour Expert</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Bosna Hersek Cad. No:29 Emek/Cankaya /Ankara 06500/Turkiye</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Phone: +90 312 296 76 36</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Fax: +90 312 223 67 37</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e-mail: </w:t>
      </w:r>
      <w:hyperlink r:id="rId11" w:history="1">
        <w:r w:rsidRPr="00145E55">
          <w:rPr>
            <w:rStyle w:val="Kpr"/>
            <w:rFonts w:ascii="Arial" w:hAnsi="Arial" w:cs="Arial"/>
            <w:noProof/>
            <w:sz w:val="24"/>
            <w:szCs w:val="24"/>
            <w:lang w:val="en-GB" w:eastAsia="tr-TR"/>
          </w:rPr>
          <w:t>istihdam.destegi@csgb.gov.tr</w:t>
        </w:r>
      </w:hyperlink>
      <w:r w:rsidRPr="00145E55">
        <w:rPr>
          <w:rFonts w:ascii="Arial" w:hAnsi="Arial" w:cs="Arial"/>
          <w:noProof/>
          <w:sz w:val="24"/>
          <w:szCs w:val="24"/>
          <w:lang w:val="en-GB" w:eastAsia="tr-TR"/>
        </w:rPr>
        <w:t>  </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web-site: </w:t>
      </w:r>
      <w:hyperlink r:id="rId12" w:history="1">
        <w:r w:rsidRPr="00145E55">
          <w:rPr>
            <w:rStyle w:val="Kpr"/>
            <w:rFonts w:ascii="Arial" w:hAnsi="Arial" w:cs="Arial"/>
            <w:noProof/>
            <w:sz w:val="24"/>
            <w:szCs w:val="24"/>
            <w:lang w:val="en-GB" w:eastAsia="tr-TR"/>
          </w:rPr>
          <w:t>www.csgb.gov.tr</w:t>
        </w:r>
      </w:hyperlink>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 </w:t>
      </w:r>
    </w:p>
    <w:p w:rsidR="000079D8" w:rsidRDefault="000079D8" w:rsidP="001308AE">
      <w:pPr>
        <w:spacing w:before="100" w:beforeAutospacing="1" w:after="100" w:afterAutospacing="1"/>
        <w:rPr>
          <w:rFonts w:ascii="Arial" w:hAnsi="Arial" w:cs="Arial"/>
          <w:noProof/>
          <w:sz w:val="24"/>
          <w:szCs w:val="24"/>
          <w:lang w:val="en-GB" w:eastAsia="tr-TR"/>
        </w:rPr>
      </w:pPr>
    </w:p>
    <w:p w:rsidR="000079D8" w:rsidRDefault="000079D8" w:rsidP="001308AE">
      <w:pPr>
        <w:spacing w:before="100" w:beforeAutospacing="1" w:after="100" w:afterAutospacing="1"/>
        <w:rPr>
          <w:rFonts w:ascii="Arial" w:hAnsi="Arial" w:cs="Arial"/>
          <w:noProof/>
          <w:sz w:val="24"/>
          <w:szCs w:val="24"/>
          <w:lang w:val="en-GB" w:eastAsia="tr-TR"/>
        </w:rPr>
      </w:pP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Ministry of Labour and Social Security (MoLSS) - Turkish Employment Agency (ISKUR)</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Mr. Mehmet Mustafa Genel</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ISKUR, Employment Expert</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Emniyet Mahallesi Mevlana Bulvari (Konya Yolu) No:42 Yenimahalle / Ankara 06560/Turkiye</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Phone : +90 312 216 35 37</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Fax : +90 312 418 05 63</w:t>
      </w:r>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e-mail : </w:t>
      </w:r>
      <w:hyperlink r:id="rId13" w:history="1">
        <w:r w:rsidRPr="00145E55">
          <w:rPr>
            <w:rStyle w:val="Kpr"/>
            <w:rFonts w:ascii="Arial" w:hAnsi="Arial" w:cs="Arial"/>
            <w:noProof/>
            <w:sz w:val="24"/>
            <w:szCs w:val="24"/>
            <w:lang w:val="en-GB" w:eastAsia="tr-TR"/>
          </w:rPr>
          <w:t>disuzman3@iskur.gov.tr</w:t>
        </w:r>
      </w:hyperlink>
    </w:p>
    <w:p w:rsidR="001308AE" w:rsidRPr="00145E55" w:rsidRDefault="001308AE" w:rsidP="001308AE">
      <w:pPr>
        <w:spacing w:before="100" w:beforeAutospacing="1" w:after="100" w:afterAutospacing="1"/>
        <w:rPr>
          <w:rFonts w:ascii="Arial" w:hAnsi="Arial" w:cs="Arial"/>
          <w:noProof/>
          <w:sz w:val="24"/>
          <w:szCs w:val="24"/>
          <w:lang w:val="en-GB" w:eastAsia="tr-TR"/>
        </w:rPr>
      </w:pPr>
      <w:r w:rsidRPr="00145E55">
        <w:rPr>
          <w:rFonts w:ascii="Arial" w:hAnsi="Arial" w:cs="Arial"/>
          <w:noProof/>
          <w:sz w:val="24"/>
          <w:szCs w:val="24"/>
          <w:lang w:val="en-GB" w:eastAsia="tr-TR"/>
        </w:rPr>
        <w:t>web-site: </w:t>
      </w:r>
      <w:hyperlink r:id="rId14" w:history="1">
        <w:r w:rsidRPr="00145E55">
          <w:rPr>
            <w:rStyle w:val="Kpr"/>
            <w:rFonts w:ascii="Arial" w:hAnsi="Arial" w:cs="Arial"/>
            <w:noProof/>
            <w:sz w:val="24"/>
            <w:szCs w:val="24"/>
            <w:lang w:val="en-GB" w:eastAsia="tr-TR"/>
          </w:rPr>
          <w:t>www.iskur.gov.tr</w:t>
        </w:r>
      </w:hyperlink>
    </w:p>
    <w:p w:rsidR="001308AE" w:rsidRPr="00145E55" w:rsidRDefault="001308AE" w:rsidP="001308AE">
      <w:pPr>
        <w:rPr>
          <w:noProof/>
          <w:lang w:val="en-GB"/>
        </w:rPr>
      </w:pPr>
    </w:p>
    <w:p w:rsidR="001308AE" w:rsidRPr="00145E55" w:rsidRDefault="001308AE" w:rsidP="001308AE">
      <w:pPr>
        <w:spacing w:after="240"/>
        <w:rPr>
          <w:rFonts w:ascii="Times New Roman" w:eastAsia="Times New Roman" w:hAnsi="Times New Roman" w:cs="Times New Roman"/>
          <w:noProof/>
          <w:sz w:val="24"/>
          <w:szCs w:val="24"/>
          <w:lang w:val="en-GB" w:eastAsia="tr-TR"/>
        </w:rPr>
      </w:pPr>
    </w:p>
    <w:bookmarkEnd w:id="0"/>
    <w:p w:rsidR="00471A78" w:rsidRPr="00BC44EE" w:rsidRDefault="00471A78" w:rsidP="00BC44EE">
      <w:pPr>
        <w:jc w:val="center"/>
        <w:rPr>
          <w:rFonts w:ascii="Times New Roman" w:eastAsia="Times New Roman" w:hAnsi="Times New Roman" w:cs="Times New Roman"/>
          <w:noProof/>
          <w:sz w:val="24"/>
          <w:szCs w:val="24"/>
          <w:lang w:val="en-GB" w:eastAsia="tr-TR"/>
        </w:rPr>
      </w:pPr>
    </w:p>
    <w:sectPr w:rsidR="00471A78" w:rsidRPr="00BC44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9F"/>
    <w:rsid w:val="000079D8"/>
    <w:rsid w:val="0008599F"/>
    <w:rsid w:val="001308AE"/>
    <w:rsid w:val="00145E55"/>
    <w:rsid w:val="00471A78"/>
    <w:rsid w:val="00BC4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8E45"/>
  <w15:chartTrackingRefBased/>
  <w15:docId w15:val="{EC09A7A4-127E-46A8-90D8-66839933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AE"/>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308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5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ur.gov.tr" TargetMode="External"/><Relationship Id="rId13" Type="http://schemas.openxmlformats.org/officeDocument/2006/relationships/hyperlink" Target="mailto:disuzman3@iskur.gov.tr" TargetMode="External"/><Relationship Id="rId3" Type="http://schemas.openxmlformats.org/officeDocument/2006/relationships/webSettings" Target="webSettings.xml"/><Relationship Id="rId7" Type="http://schemas.openxmlformats.org/officeDocument/2006/relationships/hyperlink" Target="http://www.csgb.gov.tr" TargetMode="External"/><Relationship Id="rId12" Type="http://schemas.openxmlformats.org/officeDocument/2006/relationships/hyperlink" Target="http://www.csgb.gov.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orldbank.org/procurement" TargetMode="External"/><Relationship Id="rId11" Type="http://schemas.openxmlformats.org/officeDocument/2006/relationships/hyperlink" Target="mailto:istihdam.destegi@csgb.gov.tr" TargetMode="External"/><Relationship Id="rId5" Type="http://schemas.openxmlformats.org/officeDocument/2006/relationships/hyperlink" Target="http://www.csgb.gov.tr" TargetMode="External"/><Relationship Id="rId15" Type="http://schemas.openxmlformats.org/officeDocument/2006/relationships/fontTable" Target="fontTable.xml"/><Relationship Id="rId10" Type="http://schemas.openxmlformats.org/officeDocument/2006/relationships/hyperlink" Target="http://www.iskur.gov.tr" TargetMode="External"/><Relationship Id="rId4" Type="http://schemas.openxmlformats.org/officeDocument/2006/relationships/hyperlink" Target="mailto:istihdam.destegi@csgb.gov.tr" TargetMode="External"/><Relationship Id="rId9" Type="http://schemas.openxmlformats.org/officeDocument/2006/relationships/hyperlink" Target="http://www.csgb.gov.tr" TargetMode="External"/><Relationship Id="rId14" Type="http://schemas.openxmlformats.org/officeDocument/2006/relationships/hyperlink" Target="http://www.iskur.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Yalçın</dc:creator>
  <cp:keywords/>
  <dc:description/>
  <cp:lastModifiedBy>Enes Yalçın</cp:lastModifiedBy>
  <cp:revision>5</cp:revision>
  <dcterms:created xsi:type="dcterms:W3CDTF">2022-06-28T09:00:00Z</dcterms:created>
  <dcterms:modified xsi:type="dcterms:W3CDTF">2022-06-28T09:16:00Z</dcterms:modified>
</cp:coreProperties>
</file>