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3EB5" w:rsidRPr="00497C0D" w:rsidRDefault="00223EB5" w:rsidP="00223EB5">
      <w:pPr>
        <w:jc w:val="center"/>
        <w:rPr>
          <w:rFonts w:ascii="Times New Roman" w:hAnsi="Times New Roman" w:cs="Times New Roman"/>
          <w:b/>
          <w:sz w:val="36"/>
          <w:szCs w:val="22"/>
        </w:rPr>
      </w:pPr>
      <w:r w:rsidRPr="00497C0D">
        <w:rPr>
          <w:rFonts w:ascii="Times New Roman" w:hAnsi="Times New Roman" w:cs="Times New Roman"/>
          <w:b/>
          <w:sz w:val="36"/>
          <w:szCs w:val="22"/>
        </w:rPr>
        <w:t>T.C. ÇALIŞMA VE SOSYAL GÜVENLİK BAKANLIĞI</w:t>
      </w:r>
    </w:p>
    <w:p w:rsidR="00223EB5" w:rsidRPr="00497C0D" w:rsidRDefault="00223EB5" w:rsidP="00223EB5">
      <w:pPr>
        <w:jc w:val="center"/>
        <w:outlineLvl w:val="0"/>
        <w:rPr>
          <w:rFonts w:ascii="Times New Roman" w:hAnsi="Times New Roman" w:cs="Times New Roman"/>
          <w:b/>
          <w:sz w:val="36"/>
          <w:szCs w:val="22"/>
        </w:rPr>
      </w:pPr>
      <w:r w:rsidRPr="00497C0D">
        <w:rPr>
          <w:rFonts w:ascii="Times New Roman" w:hAnsi="Times New Roman" w:cs="Times New Roman"/>
          <w:b/>
          <w:sz w:val="36"/>
          <w:szCs w:val="22"/>
        </w:rPr>
        <w:t>ULUSLARARASI İŞGÜCÜ GENEL MÜDÜRLÜĞÜ</w:t>
      </w:r>
    </w:p>
    <w:p w:rsidR="00223EB5" w:rsidRPr="00497C0D" w:rsidRDefault="00223EB5" w:rsidP="00223EB5">
      <w:pPr>
        <w:jc w:val="center"/>
        <w:outlineLvl w:val="0"/>
        <w:rPr>
          <w:rFonts w:ascii="Times New Roman" w:hAnsi="Times New Roman" w:cs="Times New Roman"/>
          <w:b/>
          <w:sz w:val="36"/>
          <w:szCs w:val="22"/>
        </w:rPr>
      </w:pPr>
    </w:p>
    <w:p w:rsidR="00223EB5" w:rsidRPr="00497C0D" w:rsidRDefault="00223EB5" w:rsidP="00223EB5">
      <w:pPr>
        <w:jc w:val="center"/>
        <w:outlineLvl w:val="0"/>
        <w:rPr>
          <w:rFonts w:ascii="Times New Roman" w:hAnsi="Times New Roman" w:cs="Times New Roman"/>
          <w:b/>
          <w:sz w:val="36"/>
          <w:szCs w:val="22"/>
        </w:rPr>
      </w:pPr>
    </w:p>
    <w:p w:rsidR="00223EB5" w:rsidRPr="00497C0D" w:rsidRDefault="00223EB5" w:rsidP="00223EB5">
      <w:pPr>
        <w:jc w:val="center"/>
        <w:outlineLvl w:val="0"/>
        <w:rPr>
          <w:rFonts w:ascii="Times New Roman" w:hAnsi="Times New Roman" w:cs="Times New Roman"/>
          <w:b/>
          <w:sz w:val="36"/>
          <w:szCs w:val="22"/>
        </w:rPr>
      </w:pPr>
      <w:r w:rsidRPr="00497C0D">
        <w:rPr>
          <w:rFonts w:ascii="Times New Roman" w:hAnsi="Times New Roman" w:cs="Times New Roman"/>
          <w:b/>
          <w:sz w:val="36"/>
          <w:szCs w:val="22"/>
        </w:rPr>
        <w:t xml:space="preserve">Geçici Koruma Sağlanan Suriyeliler ve Türk Vatandaşları İçin İstihdam Desteği Projesi </w:t>
      </w:r>
      <w:r>
        <w:rPr>
          <w:rFonts w:ascii="Times New Roman" w:hAnsi="Times New Roman" w:cs="Times New Roman"/>
          <w:b/>
          <w:sz w:val="36"/>
          <w:szCs w:val="22"/>
        </w:rPr>
        <w:t>(İSDEP)</w:t>
      </w:r>
    </w:p>
    <w:p w:rsidR="00223EB5" w:rsidRPr="00497C0D" w:rsidRDefault="00223EB5" w:rsidP="00223EB5">
      <w:pPr>
        <w:jc w:val="center"/>
        <w:outlineLvl w:val="0"/>
        <w:rPr>
          <w:rFonts w:ascii="Times New Roman" w:hAnsi="Times New Roman" w:cs="Times New Roman"/>
          <w:b/>
          <w:sz w:val="36"/>
          <w:szCs w:val="22"/>
        </w:rPr>
      </w:pPr>
      <w:r w:rsidRPr="00497C0D">
        <w:rPr>
          <w:rFonts w:ascii="Times New Roman" w:hAnsi="Times New Roman" w:cs="Times New Roman"/>
          <w:b/>
          <w:sz w:val="36"/>
          <w:szCs w:val="22"/>
        </w:rPr>
        <w:t>(Hibe No: TF0A5478)</w:t>
      </w:r>
    </w:p>
    <w:p w:rsidR="00223EB5" w:rsidRPr="00497C0D" w:rsidRDefault="00223EB5" w:rsidP="00223EB5">
      <w:pPr>
        <w:outlineLvl w:val="0"/>
        <w:rPr>
          <w:rFonts w:ascii="Times New Roman" w:hAnsi="Times New Roman" w:cs="Times New Roman"/>
          <w:b/>
          <w:sz w:val="36"/>
          <w:szCs w:val="22"/>
        </w:rPr>
      </w:pPr>
    </w:p>
    <w:tbl>
      <w:tblPr>
        <w:tblStyle w:val="TabloKlavuzu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988"/>
        <w:gridCol w:w="8079"/>
      </w:tblGrid>
      <w:tr w:rsidR="002138D1" w:rsidRPr="00CE3DD3" w:rsidTr="00EA3EB3">
        <w:trPr>
          <w:jc w:val="center"/>
        </w:trPr>
        <w:tc>
          <w:tcPr>
            <w:tcW w:w="988" w:type="dxa"/>
            <w:vAlign w:val="center"/>
          </w:tcPr>
          <w:p w:rsidR="002138D1" w:rsidRDefault="002138D1" w:rsidP="00EA3E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LOT 1</w:t>
            </w:r>
          </w:p>
        </w:tc>
        <w:tc>
          <w:tcPr>
            <w:tcW w:w="8079" w:type="dxa"/>
          </w:tcPr>
          <w:p w:rsidR="002138D1" w:rsidRDefault="002138D1" w:rsidP="00EA3E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GÜCÜNDE KESİNTİSİZ GÜÇ KAYNAĞI (KGK) VE TESİSAT İŞLERİ</w:t>
            </w:r>
          </w:p>
        </w:tc>
      </w:tr>
      <w:tr w:rsidR="002138D1" w:rsidRPr="00CE3DD3" w:rsidTr="00EA3EB3">
        <w:trPr>
          <w:jc w:val="center"/>
        </w:trPr>
        <w:tc>
          <w:tcPr>
            <w:tcW w:w="988" w:type="dxa"/>
            <w:vAlign w:val="center"/>
          </w:tcPr>
          <w:p w:rsidR="002138D1" w:rsidRDefault="002138D1" w:rsidP="00EA3E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LOT 2</w:t>
            </w:r>
          </w:p>
        </w:tc>
        <w:tc>
          <w:tcPr>
            <w:tcW w:w="8079" w:type="dxa"/>
          </w:tcPr>
          <w:p w:rsidR="002138D1" w:rsidRDefault="002138D1" w:rsidP="00EA3E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10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GÜCÜNDE MODÜLER RACK TİPİ PARALEL YEDEKLİ KESİNTİSİZ GÜÇ KAYNAĞI (KGK)</w:t>
            </w:r>
          </w:p>
        </w:tc>
      </w:tr>
      <w:tr w:rsidR="002138D1" w:rsidRPr="00CE3DD3" w:rsidTr="00EA3EB3">
        <w:trPr>
          <w:jc w:val="center"/>
        </w:trPr>
        <w:tc>
          <w:tcPr>
            <w:tcW w:w="988" w:type="dxa"/>
            <w:vAlign w:val="center"/>
          </w:tcPr>
          <w:p w:rsidR="002138D1" w:rsidRDefault="002138D1" w:rsidP="00EA3E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LOT 3</w:t>
            </w:r>
          </w:p>
        </w:tc>
        <w:tc>
          <w:tcPr>
            <w:tcW w:w="8079" w:type="dxa"/>
          </w:tcPr>
          <w:p w:rsidR="002138D1" w:rsidRDefault="002138D1" w:rsidP="00EA3EB3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50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kVA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 STANDBY ÇIKIŞ GÜCÜNDE OTOMATİK VE SES İZOLASYON KABİNLİ DİZEL JENERATÖR GRUBU</w:t>
            </w:r>
          </w:p>
        </w:tc>
      </w:tr>
    </w:tbl>
    <w:p w:rsidR="00223EB5" w:rsidRPr="00497C0D" w:rsidRDefault="00223EB5" w:rsidP="00223EB5">
      <w:pPr>
        <w:jc w:val="center"/>
        <w:rPr>
          <w:rFonts w:ascii="Times New Roman" w:hAnsi="Times New Roman" w:cs="Times New Roman"/>
          <w:sz w:val="36"/>
          <w:szCs w:val="22"/>
        </w:rPr>
      </w:pPr>
    </w:p>
    <w:p w:rsidR="00223EB5" w:rsidRPr="00497C0D" w:rsidRDefault="00223EB5" w:rsidP="00223EB5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97C0D">
        <w:rPr>
          <w:rFonts w:ascii="Times New Roman" w:hAnsi="Times New Roman" w:cs="Times New Roman"/>
          <w:i/>
          <w:sz w:val="28"/>
          <w:szCs w:val="28"/>
        </w:rPr>
        <w:t>Alımı için</w:t>
      </w:r>
    </w:p>
    <w:p w:rsidR="00223EB5" w:rsidRPr="00497C0D" w:rsidRDefault="00223EB5" w:rsidP="00223EB5">
      <w:pPr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23EB5" w:rsidRDefault="00223EB5" w:rsidP="00223EB5">
      <w:pPr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497C0D">
        <w:rPr>
          <w:rFonts w:ascii="Times New Roman" w:hAnsi="Times New Roman" w:cs="Times New Roman"/>
          <w:i/>
          <w:sz w:val="28"/>
          <w:szCs w:val="28"/>
        </w:rPr>
        <w:t>Teklif Vermeye Davet</w:t>
      </w:r>
    </w:p>
    <w:p w:rsidR="00223EB5" w:rsidRDefault="00223EB5" w:rsidP="00223EB5">
      <w:pPr>
        <w:jc w:val="center"/>
        <w:outlineLvl w:val="0"/>
        <w:rPr>
          <w:rFonts w:ascii="Times New Roman" w:hAnsi="Times New Roman" w:cs="Times New Roman"/>
          <w:i/>
          <w:sz w:val="28"/>
          <w:szCs w:val="28"/>
        </w:rPr>
      </w:pPr>
    </w:p>
    <w:p w:rsidR="00223EB5" w:rsidRPr="00497C0D" w:rsidRDefault="00223EB5" w:rsidP="00223EB5">
      <w:pPr>
        <w:spacing w:before="120" w:after="120"/>
        <w:jc w:val="center"/>
        <w:rPr>
          <w:rFonts w:ascii="Times New Roman" w:hAnsi="Times New Roman" w:cs="Times New Roman"/>
          <w:b/>
          <w:sz w:val="28"/>
          <w:szCs w:val="36"/>
        </w:rPr>
      </w:pPr>
      <w:r w:rsidRPr="00497C0D">
        <w:rPr>
          <w:rFonts w:ascii="Times New Roman" w:hAnsi="Times New Roman" w:cs="Times New Roman"/>
          <w:b/>
          <w:sz w:val="28"/>
          <w:szCs w:val="36"/>
        </w:rPr>
        <w:t>İhale No:</w:t>
      </w:r>
    </w:p>
    <w:p w:rsidR="002138D1" w:rsidRPr="00497C0D" w:rsidRDefault="002138D1" w:rsidP="002138D1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 w:rsidRPr="005B7355">
        <w:rPr>
          <w:rFonts w:ascii="Times New Roman" w:hAnsi="Times New Roman" w:cs="Times New Roman"/>
          <w:b/>
          <w:sz w:val="32"/>
          <w:szCs w:val="22"/>
        </w:rPr>
        <w:t>FRIT-MOLSS-WB-M-04-03</w:t>
      </w:r>
    </w:p>
    <w:p w:rsidR="00223EB5" w:rsidRDefault="00223EB5" w:rsidP="00223EB5">
      <w:pPr>
        <w:jc w:val="center"/>
        <w:outlineLvl w:val="0"/>
        <w:rPr>
          <w:rFonts w:ascii="Times New Roman" w:hAnsi="Times New Roman" w:cs="Times New Roman"/>
          <w:b/>
          <w:sz w:val="32"/>
          <w:szCs w:val="22"/>
        </w:rPr>
      </w:pPr>
    </w:p>
    <w:p w:rsidR="00223EB5" w:rsidRDefault="00223EB5" w:rsidP="00223EB5">
      <w:pPr>
        <w:jc w:val="center"/>
        <w:outlineLvl w:val="0"/>
        <w:rPr>
          <w:rFonts w:ascii="Times New Roman" w:hAnsi="Times New Roman" w:cs="Times New Roman"/>
          <w:b/>
          <w:sz w:val="32"/>
          <w:szCs w:val="22"/>
        </w:rPr>
      </w:pPr>
    </w:p>
    <w:p w:rsidR="00223EB5" w:rsidRDefault="00D55008" w:rsidP="00223EB5">
      <w:pPr>
        <w:jc w:val="center"/>
        <w:outlineLvl w:val="0"/>
        <w:rPr>
          <w:rFonts w:ascii="Times New Roman" w:hAnsi="Times New Roman" w:cs="Times New Roman"/>
          <w:b/>
          <w:sz w:val="32"/>
          <w:szCs w:val="22"/>
        </w:rPr>
      </w:pPr>
      <w:r>
        <w:rPr>
          <w:rFonts w:ascii="Times New Roman" w:hAnsi="Times New Roman" w:cs="Times New Roman"/>
          <w:b/>
          <w:sz w:val="32"/>
          <w:szCs w:val="22"/>
        </w:rPr>
        <w:t xml:space="preserve">1 SIRA NOLU </w:t>
      </w:r>
      <w:r w:rsidR="00223EB5">
        <w:rPr>
          <w:rFonts w:ascii="Times New Roman" w:hAnsi="Times New Roman" w:cs="Times New Roman"/>
          <w:b/>
          <w:sz w:val="32"/>
          <w:szCs w:val="22"/>
        </w:rPr>
        <w:t xml:space="preserve">ZEYİLNAME </w:t>
      </w:r>
    </w:p>
    <w:p w:rsidR="00FE13D7" w:rsidRPr="00497C0D" w:rsidRDefault="00AE31D2" w:rsidP="00AE31D2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32"/>
          <w:szCs w:val="22"/>
        </w:rPr>
        <w:t>01</w:t>
      </w:r>
      <w:r w:rsidR="00FE13D7">
        <w:rPr>
          <w:rFonts w:ascii="Times New Roman" w:hAnsi="Times New Roman" w:cs="Times New Roman"/>
          <w:b/>
          <w:sz w:val="32"/>
          <w:szCs w:val="22"/>
        </w:rPr>
        <w:t>.0</w:t>
      </w:r>
      <w:r>
        <w:rPr>
          <w:rFonts w:ascii="Times New Roman" w:hAnsi="Times New Roman" w:cs="Times New Roman"/>
          <w:b/>
          <w:sz w:val="32"/>
          <w:szCs w:val="22"/>
        </w:rPr>
        <w:t>6</w:t>
      </w:r>
      <w:r w:rsidR="00FE13D7">
        <w:rPr>
          <w:rFonts w:ascii="Times New Roman" w:hAnsi="Times New Roman" w:cs="Times New Roman"/>
          <w:b/>
          <w:sz w:val="32"/>
          <w:szCs w:val="22"/>
        </w:rPr>
        <w:t>.2022</w:t>
      </w:r>
    </w:p>
    <w:p w:rsidR="00223EB5" w:rsidRPr="00497C0D" w:rsidRDefault="00223EB5" w:rsidP="00223EB5">
      <w:pPr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223EB5" w:rsidRPr="00497C0D" w:rsidRDefault="00223EB5" w:rsidP="00223EB5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223EB5" w:rsidRDefault="00223EB5" w:rsidP="00223EB5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223EB5" w:rsidRDefault="00223EB5" w:rsidP="00223EB5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223EB5" w:rsidRDefault="00223EB5" w:rsidP="00223EB5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223EB5" w:rsidRDefault="00223EB5" w:rsidP="00223EB5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223EB5" w:rsidRDefault="00223EB5" w:rsidP="00223EB5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223EB5" w:rsidRDefault="00223EB5" w:rsidP="00223EB5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223EB5" w:rsidRDefault="00223EB5" w:rsidP="00223EB5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223EB5" w:rsidRDefault="00223EB5" w:rsidP="00223EB5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223EB5" w:rsidRDefault="00223EB5" w:rsidP="00223EB5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223EB5" w:rsidRDefault="00223EB5" w:rsidP="00223EB5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223EB5" w:rsidRDefault="00223EB5" w:rsidP="00223EB5">
      <w:pPr>
        <w:jc w:val="center"/>
        <w:rPr>
          <w:rFonts w:ascii="Times New Roman" w:hAnsi="Times New Roman" w:cs="Times New Roman"/>
          <w:b/>
          <w:sz w:val="28"/>
          <w:szCs w:val="22"/>
        </w:rPr>
      </w:pPr>
    </w:p>
    <w:p w:rsidR="00B254C6" w:rsidRDefault="00D55008" w:rsidP="00B254C6">
      <w:pPr>
        <w:spacing w:before="120" w:after="120"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r w:rsidRPr="00FD1059">
        <w:rPr>
          <w:rFonts w:ascii="Times New Roman" w:hAnsi="Times New Roman" w:cs="Times New Roman"/>
          <w:b/>
          <w:sz w:val="22"/>
          <w:szCs w:val="22"/>
        </w:rPr>
        <w:lastRenderedPageBreak/>
        <w:t>FRIT-MOL</w:t>
      </w:r>
      <w:r w:rsidR="002138D1">
        <w:rPr>
          <w:rFonts w:ascii="Times New Roman" w:hAnsi="Times New Roman" w:cs="Times New Roman"/>
          <w:b/>
          <w:sz w:val="22"/>
          <w:szCs w:val="22"/>
        </w:rPr>
        <w:t>S</w:t>
      </w:r>
      <w:r w:rsidRPr="00FD1059">
        <w:rPr>
          <w:rFonts w:ascii="Times New Roman" w:hAnsi="Times New Roman" w:cs="Times New Roman"/>
          <w:b/>
          <w:sz w:val="22"/>
          <w:szCs w:val="22"/>
        </w:rPr>
        <w:t>S-WB-M-0</w:t>
      </w:r>
      <w:r w:rsidR="002138D1">
        <w:rPr>
          <w:rFonts w:ascii="Times New Roman" w:hAnsi="Times New Roman" w:cs="Times New Roman"/>
          <w:b/>
          <w:sz w:val="22"/>
          <w:szCs w:val="22"/>
        </w:rPr>
        <w:t>4-03</w:t>
      </w:r>
      <w:r w:rsidRPr="00FD1059">
        <w:rPr>
          <w:rFonts w:ascii="Times New Roman" w:hAnsi="Times New Roman" w:cs="Times New Roman"/>
          <w:sz w:val="22"/>
          <w:szCs w:val="22"/>
        </w:rPr>
        <w:t xml:space="preserve"> İhale Kayıt </w:t>
      </w:r>
      <w:proofErr w:type="spellStart"/>
      <w:r w:rsidRPr="00FD1059">
        <w:rPr>
          <w:rFonts w:ascii="Times New Roman" w:hAnsi="Times New Roman" w:cs="Times New Roman"/>
          <w:sz w:val="22"/>
          <w:szCs w:val="22"/>
        </w:rPr>
        <w:t>Nosu</w:t>
      </w:r>
      <w:proofErr w:type="spellEnd"/>
      <w:r w:rsidRPr="00FD1059">
        <w:rPr>
          <w:rFonts w:ascii="Times New Roman" w:hAnsi="Times New Roman" w:cs="Times New Roman"/>
          <w:sz w:val="22"/>
          <w:szCs w:val="22"/>
        </w:rPr>
        <w:t xml:space="preserve"> ile Dünya Bankası Temmuz 2016 tarihli, Kasım 2017 ve Ağustos 2018’de güncellenen “IPF Borçluları için </w:t>
      </w:r>
      <w:proofErr w:type="spellStart"/>
      <w:r w:rsidRPr="00FD1059">
        <w:rPr>
          <w:rFonts w:ascii="Times New Roman" w:hAnsi="Times New Roman" w:cs="Times New Roman"/>
          <w:sz w:val="22"/>
          <w:szCs w:val="22"/>
        </w:rPr>
        <w:t>Satınalma</w:t>
      </w:r>
      <w:proofErr w:type="spellEnd"/>
      <w:r w:rsidRPr="00FD1059">
        <w:rPr>
          <w:rFonts w:ascii="Times New Roman" w:hAnsi="Times New Roman" w:cs="Times New Roman"/>
          <w:sz w:val="22"/>
          <w:szCs w:val="22"/>
        </w:rPr>
        <w:t xml:space="preserve"> Düzenlemeleri” ihale </w:t>
      </w:r>
      <w:r w:rsidR="00B254C6">
        <w:rPr>
          <w:rFonts w:ascii="Times New Roman" w:hAnsi="Times New Roman" w:cs="Times New Roman"/>
          <w:sz w:val="22"/>
          <w:szCs w:val="22"/>
        </w:rPr>
        <w:t xml:space="preserve">usul ve esasları doğrultusunda ihalesi yapılacak olan mal alımı ihalesinde zeyilname yapılmıştır. </w:t>
      </w:r>
    </w:p>
    <w:p w:rsidR="00D55008" w:rsidRPr="00B254C6" w:rsidRDefault="00B254C6" w:rsidP="00B254C6">
      <w:pPr>
        <w:spacing w:before="120" w:after="120" w:line="240" w:lineRule="atLeast"/>
        <w:jc w:val="both"/>
        <w:rPr>
          <w:rFonts w:ascii="Times New Roman" w:hAnsi="Times New Roman" w:cs="Times New Roman"/>
          <w:b/>
          <w:bCs/>
          <w:sz w:val="22"/>
          <w:szCs w:val="22"/>
          <w:u w:val="single"/>
        </w:rPr>
      </w:pPr>
      <w:r>
        <w:rPr>
          <w:rFonts w:ascii="Times New Roman" w:hAnsi="Times New Roman" w:cs="Times New Roman"/>
          <w:sz w:val="22"/>
          <w:szCs w:val="22"/>
        </w:rPr>
        <w:t xml:space="preserve">Zeyilname, </w:t>
      </w:r>
      <w:r w:rsidR="00D55008" w:rsidRPr="00FD1059">
        <w:rPr>
          <w:rFonts w:ascii="Times New Roman" w:hAnsi="Times New Roman" w:cs="Times New Roman"/>
          <w:sz w:val="22"/>
          <w:szCs w:val="22"/>
        </w:rPr>
        <w:t>Tekl</w:t>
      </w:r>
      <w:r w:rsidR="00FD1059" w:rsidRPr="00FD1059">
        <w:rPr>
          <w:rFonts w:ascii="Times New Roman" w:hAnsi="Times New Roman" w:cs="Times New Roman"/>
          <w:sz w:val="22"/>
          <w:szCs w:val="22"/>
        </w:rPr>
        <w:t>if Vermeye Davet dokümanı</w:t>
      </w:r>
      <w:r>
        <w:rPr>
          <w:rFonts w:ascii="Times New Roman" w:hAnsi="Times New Roman" w:cs="Times New Roman"/>
          <w:sz w:val="22"/>
          <w:szCs w:val="22"/>
        </w:rPr>
        <w:t xml:space="preserve">nın </w:t>
      </w:r>
      <w:r w:rsidR="00AE31D2">
        <w:rPr>
          <w:rFonts w:ascii="Times New Roman" w:hAnsi="Times New Roman" w:cs="Times New Roman"/>
          <w:sz w:val="22"/>
          <w:szCs w:val="22"/>
        </w:rPr>
        <w:t xml:space="preserve">aşağıdaki bölümlerini kapsamaktadır. </w:t>
      </w: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690"/>
      </w:tblGrid>
      <w:tr w:rsidR="00374272" w:rsidRPr="00FD1059" w:rsidTr="00374272">
        <w:trPr>
          <w:trHeight w:val="762"/>
        </w:trPr>
        <w:tc>
          <w:tcPr>
            <w:tcW w:w="9293" w:type="dxa"/>
            <w:gridSpan w:val="2"/>
            <w:shd w:val="clear" w:color="auto" w:fill="auto"/>
            <w:vAlign w:val="center"/>
          </w:tcPr>
          <w:p w:rsidR="00374272" w:rsidRDefault="00374272" w:rsidP="00D6047F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D105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Teklif Vermeye Davet (TVD)</w:t>
            </w:r>
          </w:p>
          <w:p w:rsidR="00374272" w:rsidRPr="00FD1059" w:rsidRDefault="00374272" w:rsidP="00374272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Temin Kayıt ve Şartları</w:t>
            </w:r>
          </w:p>
        </w:tc>
      </w:tr>
      <w:tr w:rsidR="00374272" w:rsidRPr="00FD1059" w:rsidTr="00D6047F">
        <w:tc>
          <w:tcPr>
            <w:tcW w:w="4603" w:type="dxa"/>
            <w:shd w:val="clear" w:color="auto" w:fill="D9D9D9" w:themeFill="background1" w:themeFillShade="D9"/>
            <w:vAlign w:val="center"/>
          </w:tcPr>
          <w:p w:rsidR="00374272" w:rsidRPr="00FD1059" w:rsidRDefault="00374272" w:rsidP="00D6047F">
            <w:pPr>
              <w:spacing w:before="120" w:after="12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D105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Eski Hali</w:t>
            </w:r>
          </w:p>
        </w:tc>
        <w:tc>
          <w:tcPr>
            <w:tcW w:w="4690" w:type="dxa"/>
            <w:shd w:val="clear" w:color="auto" w:fill="D9D9D9" w:themeFill="background1" w:themeFillShade="D9"/>
            <w:vAlign w:val="center"/>
          </w:tcPr>
          <w:p w:rsidR="00374272" w:rsidRPr="00FD1059" w:rsidRDefault="00374272" w:rsidP="00D6047F">
            <w:pPr>
              <w:spacing w:before="120" w:after="12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D105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Yeni Hali</w:t>
            </w:r>
          </w:p>
        </w:tc>
      </w:tr>
      <w:tr w:rsidR="00374272" w:rsidRPr="00FD1059" w:rsidTr="00374272">
        <w:tc>
          <w:tcPr>
            <w:tcW w:w="4603" w:type="dxa"/>
            <w:shd w:val="clear" w:color="auto" w:fill="FFFFFF" w:themeFill="background1"/>
            <w:vAlign w:val="center"/>
          </w:tcPr>
          <w:p w:rsidR="00374272" w:rsidRPr="00FD1059" w:rsidRDefault="00374272" w:rsidP="00D6047F">
            <w:pPr>
              <w:spacing w:before="120" w:after="12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6. Teslimat Programı</w:t>
            </w:r>
          </w:p>
        </w:tc>
        <w:tc>
          <w:tcPr>
            <w:tcW w:w="4690" w:type="dxa"/>
            <w:shd w:val="clear" w:color="auto" w:fill="FFFFFF" w:themeFill="background1"/>
            <w:vAlign w:val="center"/>
          </w:tcPr>
          <w:p w:rsidR="00374272" w:rsidRPr="00FD1059" w:rsidRDefault="00374272" w:rsidP="00D6047F">
            <w:pPr>
              <w:spacing w:before="120" w:after="12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6. Teslimat Programı</w:t>
            </w:r>
          </w:p>
        </w:tc>
      </w:tr>
      <w:tr w:rsidR="00374272" w:rsidRPr="00FD1059" w:rsidTr="00D6047F">
        <w:tc>
          <w:tcPr>
            <w:tcW w:w="4603" w:type="dxa"/>
            <w:shd w:val="clear" w:color="auto" w:fill="auto"/>
          </w:tcPr>
          <w:p w:rsidR="00374272" w:rsidRPr="00374272" w:rsidRDefault="00374272" w:rsidP="0037427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Teslimat, İdare’nin Ankara’da belirtilen adresine yapılacaktır. Malların İdare içinde kurulumuna ilişkin Yerleşim Planı sözleşme akdine müteakip 5 (beş) iş günü içerisinde İdare tarafından </w:t>
            </w:r>
            <w:proofErr w:type="spellStart"/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Satıcı’ya</w:t>
            </w:r>
            <w:proofErr w:type="spellEnd"/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teslim edilecektir. İdare’nin Ankara il sınırları içinde sınırlı kalmak üzere, Bakanlığın ana ve ek binalarında malların Yerleşim Planında değişiklik yapma hakkı saklıdır.</w:t>
            </w:r>
          </w:p>
          <w:p w:rsidR="00374272" w:rsidRPr="00374272" w:rsidRDefault="00374272" w:rsidP="0037427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374272" w:rsidRPr="00374272" w:rsidRDefault="00374272" w:rsidP="0037427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Sözleşme imzalanmasına müteakip</w:t>
            </w:r>
          </w:p>
          <w:p w:rsidR="00374272" w:rsidRPr="00374272" w:rsidRDefault="00374272" w:rsidP="0037427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Lot 1: 100 </w:t>
            </w:r>
            <w:proofErr w:type="spellStart"/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kVA</w:t>
            </w:r>
            <w:proofErr w:type="spellEnd"/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Gücünde Kesintisiz Güç Kaynağı (KGK) ve Tesisat İşleri için en çok 60 gün; </w:t>
            </w:r>
          </w:p>
          <w:p w:rsidR="00374272" w:rsidRPr="00374272" w:rsidRDefault="00374272" w:rsidP="0037427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37427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Lot 2: 10 </w:t>
            </w:r>
            <w:proofErr w:type="spellStart"/>
            <w:r w:rsidRPr="0037427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kVA</w:t>
            </w:r>
            <w:proofErr w:type="spellEnd"/>
            <w:r w:rsidRPr="0037427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Gücünde Modüler </w:t>
            </w:r>
            <w:proofErr w:type="spellStart"/>
            <w:r w:rsidRPr="0037427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Rack</w:t>
            </w:r>
            <w:proofErr w:type="spellEnd"/>
            <w:r w:rsidRPr="0037427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Tipi Paralel Yedekli Kesintisiz Güç Kaynağı (KGK) için en çok 90 gün;</w:t>
            </w:r>
          </w:p>
          <w:p w:rsidR="00374272" w:rsidRPr="00374272" w:rsidRDefault="00374272" w:rsidP="0037427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Lot 3: 50 </w:t>
            </w:r>
            <w:proofErr w:type="spellStart"/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kVA</w:t>
            </w:r>
            <w:proofErr w:type="spellEnd"/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Standby</w:t>
            </w:r>
            <w:proofErr w:type="spellEnd"/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Çıkış Gücünde Otomatik Ve Ses İzolasyon Kabinli Dizel Jeneratör Grubu için en çok 45 gün;</w:t>
            </w:r>
          </w:p>
          <w:p w:rsidR="00374272" w:rsidRPr="00374272" w:rsidRDefault="00374272" w:rsidP="0037427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içerisinde</w:t>
            </w:r>
            <w:proofErr w:type="gramEnd"/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kurulumu, yerinde montajı ve çalışır duruma getirilmesi Satıcı tarafından yapılacaktır. </w:t>
            </w:r>
          </w:p>
          <w:p w:rsidR="00374272" w:rsidRPr="00B254C6" w:rsidRDefault="00374272" w:rsidP="00D6047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  <w:tc>
          <w:tcPr>
            <w:tcW w:w="4690" w:type="dxa"/>
            <w:shd w:val="clear" w:color="auto" w:fill="auto"/>
          </w:tcPr>
          <w:p w:rsidR="00374272" w:rsidRPr="00374272" w:rsidRDefault="00374272" w:rsidP="0037427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Teslimat, İdare’nin Ankara’da belirtilen adresine yapılacaktır. Malların İdare içinde kurulumuna ilişkin Yerleşim Planı sözleşme akdine müteakip 5 (beş) iş günü içerisinde İdare tarafından </w:t>
            </w:r>
            <w:proofErr w:type="spellStart"/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Satıcı’ya</w:t>
            </w:r>
            <w:proofErr w:type="spellEnd"/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teslim edilecektir. İdare’nin Ankara il sınırları içinde sınırlı kalmak üzere, Bakanlığın ana ve ek binalarında malların Yerleşim Planında değişiklik yapma hakkı saklıdır.</w:t>
            </w:r>
          </w:p>
          <w:p w:rsidR="00374272" w:rsidRPr="00374272" w:rsidRDefault="00374272" w:rsidP="0037427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/>
                <w:bCs/>
                <w:sz w:val="22"/>
                <w:szCs w:val="22"/>
                <w:lang w:eastAsia="en-US"/>
              </w:rPr>
            </w:pPr>
          </w:p>
          <w:p w:rsidR="00374272" w:rsidRPr="00374272" w:rsidRDefault="00374272" w:rsidP="0037427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Sözleşme imzalanmasına müteakip</w:t>
            </w:r>
          </w:p>
          <w:p w:rsidR="00374272" w:rsidRPr="00374272" w:rsidRDefault="00374272" w:rsidP="0037427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Lot 1: 100 </w:t>
            </w:r>
            <w:proofErr w:type="spellStart"/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kVA</w:t>
            </w:r>
            <w:proofErr w:type="spellEnd"/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Gücünde Kesintisiz Güç Kaynağı (KGK) ve Tesisat İşleri için en çok 60 gün; </w:t>
            </w:r>
          </w:p>
          <w:p w:rsidR="00374272" w:rsidRPr="00374272" w:rsidRDefault="00374272" w:rsidP="00F45A4D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7427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Lot 2: 10 </w:t>
            </w:r>
            <w:proofErr w:type="spellStart"/>
            <w:r w:rsidRPr="0037427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kVA</w:t>
            </w:r>
            <w:proofErr w:type="spellEnd"/>
            <w:r w:rsidRPr="0037427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Gücünde Modüler </w:t>
            </w:r>
            <w:proofErr w:type="spellStart"/>
            <w:r w:rsidRPr="0037427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Rack</w:t>
            </w:r>
            <w:proofErr w:type="spellEnd"/>
            <w:r w:rsidRPr="0037427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 xml:space="preserve"> Tipi Paralel Yedekli Kesintisiz Güç Kaynağı (KGK) için en çok 1</w:t>
            </w:r>
            <w:r w:rsidR="00F45A4D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2</w:t>
            </w:r>
            <w:r w:rsidRPr="00374272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0 gün</w:t>
            </w:r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;</w:t>
            </w:r>
          </w:p>
          <w:p w:rsidR="00374272" w:rsidRPr="00374272" w:rsidRDefault="00374272" w:rsidP="0037427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Lot 3: 50 </w:t>
            </w:r>
            <w:proofErr w:type="spellStart"/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kVA</w:t>
            </w:r>
            <w:proofErr w:type="spellEnd"/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Standby</w:t>
            </w:r>
            <w:proofErr w:type="spellEnd"/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Çıkış Gücünde Otomatik Ve Ses İzolasyon Kabinli Dizel Jeneratör Grubu için en çok 45 gün;</w:t>
            </w:r>
          </w:p>
          <w:p w:rsidR="00374272" w:rsidRPr="00374272" w:rsidRDefault="00374272" w:rsidP="00374272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proofErr w:type="gramStart"/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içerisinde</w:t>
            </w:r>
            <w:proofErr w:type="gramEnd"/>
            <w:r w:rsidRPr="00374272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kurulumu, yerinde montajı ve çalışır duruma getirilmesi Satıcı tarafından yapılacaktır. </w:t>
            </w:r>
          </w:p>
          <w:p w:rsidR="00374272" w:rsidRPr="00374272" w:rsidRDefault="00374272" w:rsidP="00D6047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</w:p>
        </w:tc>
      </w:tr>
    </w:tbl>
    <w:p w:rsidR="00374272" w:rsidRDefault="00374272" w:rsidP="00D55008">
      <w:pPr>
        <w:spacing w:before="120" w:after="120"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690"/>
      </w:tblGrid>
      <w:tr w:rsidR="00AE31D2" w:rsidRPr="00FD1059" w:rsidTr="00D6047F">
        <w:trPr>
          <w:trHeight w:val="1543"/>
        </w:trPr>
        <w:tc>
          <w:tcPr>
            <w:tcW w:w="9293" w:type="dxa"/>
            <w:gridSpan w:val="2"/>
            <w:shd w:val="clear" w:color="auto" w:fill="auto"/>
            <w:vAlign w:val="center"/>
          </w:tcPr>
          <w:p w:rsidR="00AE31D2" w:rsidRDefault="00AE31D2" w:rsidP="00D6047F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D105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Teklif Vermeye Davet (TVD)</w:t>
            </w:r>
          </w:p>
          <w:p w:rsidR="00AE31D2" w:rsidRDefault="00AE31D2" w:rsidP="00D6047F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Ek 5: Teknik Şartname </w:t>
            </w:r>
          </w:p>
          <w:tbl>
            <w:tblPr>
              <w:tblStyle w:val="TabloKlavuzu"/>
              <w:tblW w:w="9067" w:type="dxa"/>
              <w:jc w:val="center"/>
              <w:tblLook w:val="04A0" w:firstRow="1" w:lastRow="0" w:firstColumn="1" w:lastColumn="0" w:noHBand="0" w:noVBand="1"/>
            </w:tblPr>
            <w:tblGrid>
              <w:gridCol w:w="988"/>
              <w:gridCol w:w="8079"/>
            </w:tblGrid>
            <w:tr w:rsidR="00AE31D2" w:rsidRPr="0053527A" w:rsidTr="00D6047F">
              <w:trPr>
                <w:jc w:val="center"/>
              </w:trPr>
              <w:tc>
                <w:tcPr>
                  <w:tcW w:w="988" w:type="dxa"/>
                  <w:vAlign w:val="center"/>
                </w:tcPr>
                <w:p w:rsidR="00AE31D2" w:rsidRDefault="00AE31D2" w:rsidP="00D6047F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LOT 1</w:t>
                  </w:r>
                </w:p>
              </w:tc>
              <w:tc>
                <w:tcPr>
                  <w:tcW w:w="8079" w:type="dxa"/>
                </w:tcPr>
                <w:p w:rsidR="00AE31D2" w:rsidRDefault="00AE31D2" w:rsidP="00D6047F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100 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kVA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GÜCÜNDE KESİNTİSİZ GÜÇ KAYNAĞI (KGK) VE TESİSAT İŞLERİ </w:t>
                  </w:r>
                </w:p>
              </w:tc>
            </w:tr>
            <w:tr w:rsidR="00AE31D2" w:rsidRPr="0053527A" w:rsidTr="00D6047F">
              <w:trPr>
                <w:jc w:val="center"/>
              </w:trPr>
              <w:tc>
                <w:tcPr>
                  <w:tcW w:w="9067" w:type="dxa"/>
                  <w:gridSpan w:val="2"/>
                  <w:vAlign w:val="center"/>
                </w:tcPr>
                <w:p w:rsidR="00AE31D2" w:rsidRDefault="00AE31D2" w:rsidP="00D6047F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UPS Tesisat Projesi (</w:t>
                  </w:r>
                  <w:proofErr w:type="spellStart"/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dwg</w:t>
                  </w:r>
                  <w:proofErr w:type="spellEnd"/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uzantılı dosya)</w:t>
                  </w:r>
                </w:p>
              </w:tc>
            </w:tr>
          </w:tbl>
          <w:p w:rsidR="00AE31D2" w:rsidRPr="00FD1059" w:rsidRDefault="00AE31D2" w:rsidP="00D6047F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AE31D2" w:rsidRPr="00FD1059" w:rsidTr="00D6047F">
        <w:trPr>
          <w:trHeight w:val="332"/>
        </w:trPr>
        <w:tc>
          <w:tcPr>
            <w:tcW w:w="9293" w:type="dxa"/>
            <w:gridSpan w:val="2"/>
            <w:shd w:val="clear" w:color="auto" w:fill="auto"/>
            <w:vAlign w:val="center"/>
          </w:tcPr>
          <w:p w:rsidR="00AE31D2" w:rsidRPr="00FD1059" w:rsidRDefault="00AE31D2" w:rsidP="00D6047F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AE31D2" w:rsidRPr="00FD1059" w:rsidTr="00D6047F">
        <w:tc>
          <w:tcPr>
            <w:tcW w:w="4603" w:type="dxa"/>
            <w:shd w:val="clear" w:color="auto" w:fill="D9D9D9" w:themeFill="background1" w:themeFillShade="D9"/>
            <w:vAlign w:val="center"/>
          </w:tcPr>
          <w:p w:rsidR="00AE31D2" w:rsidRPr="00FD1059" w:rsidRDefault="00AE31D2" w:rsidP="00D6047F">
            <w:pPr>
              <w:spacing w:before="120" w:after="12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D105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Eski Hali</w:t>
            </w:r>
          </w:p>
        </w:tc>
        <w:tc>
          <w:tcPr>
            <w:tcW w:w="4690" w:type="dxa"/>
            <w:shd w:val="clear" w:color="auto" w:fill="D9D9D9" w:themeFill="background1" w:themeFillShade="D9"/>
            <w:vAlign w:val="center"/>
          </w:tcPr>
          <w:p w:rsidR="00AE31D2" w:rsidRPr="00FD1059" w:rsidRDefault="00AE31D2" w:rsidP="00D6047F">
            <w:pPr>
              <w:spacing w:before="120" w:after="12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D105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Yeni Hali</w:t>
            </w:r>
          </w:p>
        </w:tc>
      </w:tr>
      <w:tr w:rsidR="00AE31D2" w:rsidRPr="00FD1059" w:rsidTr="00D6047F">
        <w:tc>
          <w:tcPr>
            <w:tcW w:w="4603" w:type="dxa"/>
            <w:shd w:val="clear" w:color="auto" w:fill="auto"/>
          </w:tcPr>
          <w:p w:rsidR="00AE31D2" w:rsidRPr="00B254C6" w:rsidRDefault="00AE31D2" w:rsidP="00D6047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B254C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“UPS; 100 </w:t>
            </w:r>
            <w:proofErr w:type="spellStart"/>
            <w:r w:rsidRPr="00B254C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kw</w:t>
            </w:r>
            <w:proofErr w:type="spellEnd"/>
            <w:r w:rsidRPr="00B254C6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gücünde modüler kesintisiz güç kaynağı.”</w:t>
            </w:r>
          </w:p>
        </w:tc>
        <w:tc>
          <w:tcPr>
            <w:tcW w:w="4690" w:type="dxa"/>
            <w:shd w:val="clear" w:color="auto" w:fill="auto"/>
          </w:tcPr>
          <w:p w:rsidR="00AE31D2" w:rsidRPr="00FD1059" w:rsidRDefault="00AE31D2" w:rsidP="00D6047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2"/>
                <w:szCs w:val="22"/>
                <w:lang w:val="en-US" w:eastAsia="en-US"/>
              </w:rPr>
            </w:pP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en-US" w:eastAsia="en-US"/>
              </w:rPr>
              <w:t xml:space="preserve">“UPS; 100 kVA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en-US" w:eastAsia="en-US"/>
              </w:rPr>
              <w:t>gücünde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en-US" w:eastAsia="en-US"/>
              </w:rPr>
              <w:t>kesintisiz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en-US" w:eastAsia="en-US"/>
              </w:rPr>
              <w:t>güç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en-US" w:eastAsia="en-US"/>
              </w:rPr>
              <w:t>kaynağı</w:t>
            </w:r>
            <w:proofErr w:type="spellEnd"/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val="en-US" w:eastAsia="en-US"/>
              </w:rPr>
              <w:t>.”</w:t>
            </w:r>
          </w:p>
        </w:tc>
      </w:tr>
    </w:tbl>
    <w:p w:rsidR="00AE31D2" w:rsidRDefault="00AE31D2" w:rsidP="00D55008">
      <w:pPr>
        <w:spacing w:before="120" w:after="120"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AE31D2" w:rsidRDefault="00AE31D2" w:rsidP="00D55008">
      <w:pPr>
        <w:spacing w:before="120" w:after="120"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p w:rsidR="00AE31D2" w:rsidRDefault="00AE31D2" w:rsidP="00D55008">
      <w:pPr>
        <w:spacing w:before="120" w:after="120" w:line="240" w:lineRule="atLeas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929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3"/>
        <w:gridCol w:w="4690"/>
      </w:tblGrid>
      <w:tr w:rsidR="00374272" w:rsidRPr="00FD1059" w:rsidTr="00D6047F">
        <w:trPr>
          <w:trHeight w:val="1543"/>
        </w:trPr>
        <w:tc>
          <w:tcPr>
            <w:tcW w:w="9293" w:type="dxa"/>
            <w:gridSpan w:val="2"/>
            <w:shd w:val="clear" w:color="auto" w:fill="auto"/>
            <w:vAlign w:val="center"/>
          </w:tcPr>
          <w:p w:rsidR="00374272" w:rsidRDefault="00374272" w:rsidP="00D6047F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 w:rsidRPr="00FD1059"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>Teklif Vermeye Davet (TVD)</w:t>
            </w:r>
          </w:p>
          <w:p w:rsidR="00374272" w:rsidRDefault="00374272" w:rsidP="00D6047F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eastAsia="Calibri" w:hAnsi="Times New Roman" w:cs="Times New Roman"/>
                <w:b/>
                <w:sz w:val="22"/>
                <w:szCs w:val="22"/>
              </w:rPr>
              <w:t xml:space="preserve">Ek 5: Teknik Şartname </w:t>
            </w:r>
          </w:p>
          <w:tbl>
            <w:tblPr>
              <w:tblStyle w:val="TabloKlavuzu"/>
              <w:tblW w:w="9067" w:type="dxa"/>
              <w:jc w:val="center"/>
              <w:tblLook w:val="04A0" w:firstRow="1" w:lastRow="0" w:firstColumn="1" w:lastColumn="0" w:noHBand="0" w:noVBand="1"/>
            </w:tblPr>
            <w:tblGrid>
              <w:gridCol w:w="988"/>
              <w:gridCol w:w="8079"/>
            </w:tblGrid>
            <w:tr w:rsidR="00374272" w:rsidRPr="0053527A" w:rsidTr="00D6047F">
              <w:trPr>
                <w:jc w:val="center"/>
              </w:trPr>
              <w:tc>
                <w:tcPr>
                  <w:tcW w:w="988" w:type="dxa"/>
                  <w:vAlign w:val="center"/>
                </w:tcPr>
                <w:p w:rsidR="00374272" w:rsidRDefault="00374272" w:rsidP="00D6047F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LOT 3</w:t>
                  </w:r>
                </w:p>
              </w:tc>
              <w:tc>
                <w:tcPr>
                  <w:tcW w:w="8079" w:type="dxa"/>
                </w:tcPr>
                <w:p w:rsidR="00374272" w:rsidRPr="005C3818" w:rsidRDefault="00374272" w:rsidP="00D6047F">
                  <w:pPr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</w:pPr>
                  <w:r w:rsidRPr="005C381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50 </w:t>
                  </w:r>
                  <w:proofErr w:type="spellStart"/>
                  <w:r w:rsidRPr="005C381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>kVA</w:t>
                  </w:r>
                  <w:proofErr w:type="spellEnd"/>
                  <w:r w:rsidRPr="005C3818">
                    <w:rPr>
                      <w:rFonts w:ascii="Times New Roman" w:hAnsi="Times New Roman" w:cs="Times New Roman"/>
                      <w:b/>
                      <w:bCs/>
                      <w:sz w:val="22"/>
                      <w:szCs w:val="22"/>
                    </w:rPr>
                    <w:t xml:space="preserve"> STANDBY ÇIKIŞ GÜCÜNDE OTOMATİK VE SES İZOLASYON KABİNLİ DİZEL JENERATÖR GRUBU</w:t>
                  </w:r>
                </w:p>
              </w:tc>
            </w:tr>
          </w:tbl>
          <w:p w:rsidR="00374272" w:rsidRPr="00FD1059" w:rsidRDefault="00374272" w:rsidP="00D6047F">
            <w:pPr>
              <w:spacing w:after="200"/>
              <w:jc w:val="center"/>
              <w:rPr>
                <w:rFonts w:ascii="Times New Roman" w:eastAsia="Calibri" w:hAnsi="Times New Roman" w:cs="Times New Roman"/>
                <w:b/>
                <w:sz w:val="22"/>
                <w:szCs w:val="22"/>
              </w:rPr>
            </w:pPr>
          </w:p>
        </w:tc>
      </w:tr>
      <w:tr w:rsidR="00374272" w:rsidRPr="00FD1059" w:rsidTr="00D6047F">
        <w:tc>
          <w:tcPr>
            <w:tcW w:w="4603" w:type="dxa"/>
            <w:shd w:val="clear" w:color="auto" w:fill="D9D9D9" w:themeFill="background1" w:themeFillShade="D9"/>
            <w:vAlign w:val="center"/>
          </w:tcPr>
          <w:p w:rsidR="00374272" w:rsidRPr="00FD1059" w:rsidRDefault="00374272" w:rsidP="00D6047F">
            <w:pPr>
              <w:spacing w:before="120" w:after="12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D105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Eski Hali</w:t>
            </w:r>
          </w:p>
        </w:tc>
        <w:tc>
          <w:tcPr>
            <w:tcW w:w="4690" w:type="dxa"/>
            <w:shd w:val="clear" w:color="auto" w:fill="D9D9D9" w:themeFill="background1" w:themeFillShade="D9"/>
            <w:vAlign w:val="center"/>
          </w:tcPr>
          <w:p w:rsidR="00374272" w:rsidRPr="00FD1059" w:rsidRDefault="00374272" w:rsidP="00D6047F">
            <w:pPr>
              <w:spacing w:before="120" w:after="120"/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</w:pPr>
            <w:r w:rsidRPr="00FD1059">
              <w:rPr>
                <w:rFonts w:ascii="Times New Roman" w:eastAsia="Calibri" w:hAnsi="Times New Roman" w:cs="Times New Roman"/>
                <w:b/>
                <w:sz w:val="22"/>
                <w:szCs w:val="22"/>
                <w:lang w:eastAsia="en-US"/>
              </w:rPr>
              <w:t>Yeni Hali</w:t>
            </w:r>
          </w:p>
        </w:tc>
      </w:tr>
      <w:tr w:rsidR="00374272" w:rsidRPr="00FD1059" w:rsidTr="00D6047F">
        <w:tc>
          <w:tcPr>
            <w:tcW w:w="4603" w:type="dxa"/>
            <w:shd w:val="clear" w:color="auto" w:fill="auto"/>
          </w:tcPr>
          <w:p w:rsidR="00374272" w:rsidRPr="00B254C6" w:rsidRDefault="00374272" w:rsidP="00D6047F">
            <w:pPr>
              <w:widowControl/>
              <w:autoSpaceDE/>
              <w:autoSpaceDN/>
              <w:adjustRightInd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5C381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2.5.17.</w:t>
            </w:r>
            <w:r w:rsidRPr="005C381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ab/>
              <w:t>Jeneratörde kullanılacak motor ve alternatör Avrupa’da üretilmiş olacaktır.</w:t>
            </w:r>
          </w:p>
        </w:tc>
        <w:tc>
          <w:tcPr>
            <w:tcW w:w="4690" w:type="dxa"/>
            <w:shd w:val="clear" w:color="auto" w:fill="auto"/>
          </w:tcPr>
          <w:p w:rsidR="00374272" w:rsidRPr="005C3818" w:rsidRDefault="00374272" w:rsidP="00D6047F">
            <w:pPr>
              <w:widowControl/>
              <w:autoSpaceDE/>
              <w:autoSpaceDN/>
              <w:adjustRightInd/>
              <w:jc w:val="both"/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</w:pPr>
            <w:r w:rsidRPr="005C3818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Jeneratörde kullanılacak motor</w:t>
            </w:r>
            <w:r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 ve alternatörün menşei ülkesinin, </w:t>
            </w:r>
            <w:r w:rsidRPr="00DB253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>Dünya Bankasının 2016 Temmuz baskısı, Kasım 2017, Ağustos 2018’de revize edilen  “IBRD İkrazları ve IDA Kredileri kapsamında Tedarike İlişkin Kılavuz” Madde 3.21</w:t>
            </w:r>
            <w:r w:rsidR="00A57DA3">
              <w:rPr>
                <w:rStyle w:val="DipnotBavurusu"/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footnoteReference w:id="1"/>
            </w:r>
            <w:r w:rsidRPr="00DB253F">
              <w:rPr>
                <w:rFonts w:ascii="Times New Roman" w:eastAsia="Calibri" w:hAnsi="Times New Roman" w:cs="Times New Roman"/>
                <w:bCs/>
                <w:sz w:val="22"/>
                <w:szCs w:val="22"/>
                <w:lang w:eastAsia="en-US"/>
              </w:rPr>
              <w:t xml:space="preserve">-3.22 ve 3.23 de yer alan Menşei Ülke ve Uygunluk Şartlarını karşılaması gerekmektedir. </w:t>
            </w:r>
          </w:p>
        </w:tc>
      </w:tr>
    </w:tbl>
    <w:p w:rsidR="00374272" w:rsidRPr="00FD1059" w:rsidRDefault="00374272" w:rsidP="00D55008">
      <w:pPr>
        <w:spacing w:before="120" w:after="120" w:line="240" w:lineRule="atLeast"/>
        <w:jc w:val="both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</w:p>
    <w:sectPr w:rsidR="00374272" w:rsidRPr="00FD1059" w:rsidSect="00223EB5">
      <w:headerReference w:type="default" r:id="rId8"/>
      <w:pgSz w:w="11906" w:h="16838"/>
      <w:pgMar w:top="9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26DB" w:rsidRDefault="000426DB" w:rsidP="00223EB5">
      <w:r>
        <w:separator/>
      </w:r>
    </w:p>
  </w:endnote>
  <w:endnote w:type="continuationSeparator" w:id="0">
    <w:p w:rsidR="000426DB" w:rsidRDefault="000426DB" w:rsidP="00223E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26DB" w:rsidRDefault="000426DB" w:rsidP="00223EB5">
      <w:r>
        <w:separator/>
      </w:r>
    </w:p>
  </w:footnote>
  <w:footnote w:type="continuationSeparator" w:id="0">
    <w:p w:rsidR="000426DB" w:rsidRDefault="000426DB" w:rsidP="00223EB5">
      <w:r>
        <w:continuationSeparator/>
      </w:r>
    </w:p>
  </w:footnote>
  <w:footnote w:id="1">
    <w:p w:rsidR="00A57DA3" w:rsidRPr="00176EF0" w:rsidRDefault="00A57DA3" w:rsidP="00176EF0">
      <w:pPr>
        <w:pStyle w:val="DipnotMetni"/>
        <w:ind w:right="-567"/>
        <w:rPr>
          <w:sz w:val="16"/>
          <w:szCs w:val="16"/>
        </w:rPr>
      </w:pPr>
      <w:r>
        <w:rPr>
          <w:rStyle w:val="DipnotBavurusu"/>
        </w:rPr>
        <w:footnoteRef/>
      </w:r>
      <w:r>
        <w:t xml:space="preserve"> </w:t>
      </w:r>
      <w:r w:rsidR="00176EF0" w:rsidRPr="00176EF0">
        <w:rPr>
          <w:sz w:val="16"/>
          <w:szCs w:val="16"/>
        </w:rPr>
        <w:t xml:space="preserve">Dünya Bankasının 2016 Temmuz baskısı, Kasım 2017, Ağustos 2018’de revize edilen  “IBRD İkrazları ve IDA Kredileri kapsamında Tedarike İlişkin Kılavuz” </w:t>
      </w:r>
      <w:r w:rsidR="00176EF0" w:rsidRPr="00176EF0">
        <w:rPr>
          <w:i/>
          <w:iCs/>
          <w:sz w:val="16"/>
          <w:szCs w:val="16"/>
        </w:rPr>
        <w:t xml:space="preserve">Madde </w:t>
      </w:r>
      <w:r w:rsidRPr="00176EF0">
        <w:rPr>
          <w:i/>
          <w:iCs/>
          <w:sz w:val="16"/>
          <w:szCs w:val="16"/>
        </w:rPr>
        <w:t xml:space="preserve">3.21 </w:t>
      </w:r>
      <w:r w:rsidR="00176EF0" w:rsidRPr="00176EF0">
        <w:rPr>
          <w:i/>
          <w:iCs/>
          <w:sz w:val="16"/>
          <w:szCs w:val="16"/>
        </w:rPr>
        <w:t>“</w:t>
      </w:r>
      <w:r w:rsidRPr="00176EF0">
        <w:rPr>
          <w:i/>
          <w:iCs/>
          <w:sz w:val="16"/>
          <w:szCs w:val="16"/>
        </w:rPr>
        <w:t>Banka, finanse ettiği projeler için tüm ülkelerden uygun şirketlerin ve bireylerin Tedarik, Yapım İşleri, Danışmanlık Dışı Hizmetler ve Danışmanlık Hizmetleri için Teklif sunmalarına izin vermektedir</w:t>
      </w:r>
      <w:r w:rsidR="00176EF0" w:rsidRPr="00176EF0">
        <w:rPr>
          <w:i/>
          <w:iCs/>
          <w:sz w:val="16"/>
          <w:szCs w:val="16"/>
        </w:rPr>
        <w:t>.”</w:t>
      </w:r>
      <w:r w:rsidR="00176EF0" w:rsidRPr="00176EF0">
        <w:rPr>
          <w:sz w:val="16"/>
          <w:szCs w:val="16"/>
        </w:rPr>
        <w:t xml:space="preserve"> Kılavuzun tam metni için bakınız: </w:t>
      </w:r>
      <w:hyperlink r:id="rId1" w:history="1">
        <w:r w:rsidR="00176EF0" w:rsidRPr="00176EF0">
          <w:rPr>
            <w:rStyle w:val="Kpr"/>
            <w:sz w:val="16"/>
            <w:szCs w:val="16"/>
          </w:rPr>
          <w:t>https://thedocs.worldbank.org/en/doc/627111487104376799-0290022017/original/ProcurementRegulationsforIPFBorrowersTurkish.pdf</w:t>
        </w:r>
      </w:hyperlink>
    </w:p>
    <w:p w:rsidR="00176EF0" w:rsidRPr="00176EF0" w:rsidRDefault="00176EF0">
      <w:pPr>
        <w:pStyle w:val="DipnotMetni"/>
        <w:rPr>
          <w:sz w:val="18"/>
          <w:szCs w:val="18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23EB5" w:rsidRDefault="00223EB5" w:rsidP="00223EB5">
    <w:pPr>
      <w:pStyle w:val="stBilgi"/>
      <w:jc w:val="center"/>
    </w:pPr>
    <w:r>
      <w:rPr>
        <w:noProof/>
      </w:rPr>
      <w:drawing>
        <wp:inline distT="0" distB="0" distL="0" distR="0" wp14:anchorId="5E8069CD" wp14:editId="7F67C399">
          <wp:extent cx="922020" cy="922020"/>
          <wp:effectExtent l="0" t="0" r="0" b="0"/>
          <wp:docPr id="4" name="Resi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logo-arma-tr-kirmiz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2020" cy="922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23EB5" w:rsidRDefault="00223EB5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04BBA"/>
    <w:multiLevelType w:val="hybridMultilevel"/>
    <w:tmpl w:val="F37444EE"/>
    <w:lvl w:ilvl="0" w:tplc="C336687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43A7"/>
    <w:rsid w:val="000426DB"/>
    <w:rsid w:val="000F6153"/>
    <w:rsid w:val="00176EF0"/>
    <w:rsid w:val="001F5A14"/>
    <w:rsid w:val="002138D1"/>
    <w:rsid w:val="00223EB5"/>
    <w:rsid w:val="00374272"/>
    <w:rsid w:val="00423E35"/>
    <w:rsid w:val="004320A0"/>
    <w:rsid w:val="00433122"/>
    <w:rsid w:val="005C3818"/>
    <w:rsid w:val="00765621"/>
    <w:rsid w:val="007E3D9A"/>
    <w:rsid w:val="007E7F75"/>
    <w:rsid w:val="009D3488"/>
    <w:rsid w:val="00A57DA3"/>
    <w:rsid w:val="00AE31D2"/>
    <w:rsid w:val="00B254C6"/>
    <w:rsid w:val="00B52A13"/>
    <w:rsid w:val="00B943A7"/>
    <w:rsid w:val="00D55008"/>
    <w:rsid w:val="00DB253F"/>
    <w:rsid w:val="00DB40A7"/>
    <w:rsid w:val="00E65A50"/>
    <w:rsid w:val="00E71CCE"/>
    <w:rsid w:val="00F37EC7"/>
    <w:rsid w:val="00F45A4D"/>
    <w:rsid w:val="00FD1059"/>
    <w:rsid w:val="00FE13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AC5C9"/>
  <w15:chartTrackingRefBased/>
  <w15:docId w15:val="{D458C323-10B7-45EE-BE4C-BAA075C1C6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10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23EB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23EB5"/>
  </w:style>
  <w:style w:type="paragraph" w:styleId="AltBilgi">
    <w:name w:val="footer"/>
    <w:basedOn w:val="Normal"/>
    <w:link w:val="AltBilgiChar"/>
    <w:uiPriority w:val="99"/>
    <w:unhideWhenUsed/>
    <w:rsid w:val="00223EB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23EB5"/>
  </w:style>
  <w:style w:type="paragraph" w:styleId="ListeParagraf">
    <w:name w:val="List Paragraph"/>
    <w:basedOn w:val="Normal"/>
    <w:uiPriority w:val="34"/>
    <w:qFormat/>
    <w:rsid w:val="00FD1059"/>
    <w:pPr>
      <w:ind w:left="720"/>
      <w:contextualSpacing/>
    </w:pPr>
  </w:style>
  <w:style w:type="table" w:styleId="TabloKlavuzu">
    <w:name w:val="Table Grid"/>
    <w:basedOn w:val="NormalTablo"/>
    <w:uiPriority w:val="39"/>
    <w:rsid w:val="002138D1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ipnotMetni">
    <w:name w:val="footnote text"/>
    <w:basedOn w:val="Normal"/>
    <w:link w:val="DipnotMetniChar"/>
    <w:uiPriority w:val="99"/>
    <w:semiHidden/>
    <w:unhideWhenUsed/>
    <w:rsid w:val="00A57DA3"/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57DA3"/>
    <w:rPr>
      <w:rFonts w:ascii="Arial" w:eastAsia="Times New Roman" w:hAnsi="Arial" w:cs="Arial"/>
      <w:sz w:val="20"/>
      <w:szCs w:val="20"/>
      <w:lang w:eastAsia="tr-TR"/>
    </w:rPr>
  </w:style>
  <w:style w:type="character" w:styleId="DipnotBavurusu">
    <w:name w:val="footnote reference"/>
    <w:basedOn w:val="VarsaylanParagrafYazTipi"/>
    <w:uiPriority w:val="99"/>
    <w:semiHidden/>
    <w:unhideWhenUsed/>
    <w:rsid w:val="00A57DA3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176EF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thedocs.worldbank.org/en/doc/627111487104376799-0290022017/original/ProcurementRegulationsforIPFBorrowersTurkish.pdf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C3E427-95C6-4E99-BF71-9DC97B9F57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3</Pages>
  <Words>524</Words>
  <Characters>2992</Characters>
  <Application>Microsoft Office Word</Application>
  <DocSecurity>0</DocSecurity>
  <Lines>24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İpek Kovancı</dc:creator>
  <cp:keywords/>
  <dc:description/>
  <cp:lastModifiedBy>İpek Kovancı</cp:lastModifiedBy>
  <cp:revision>20</cp:revision>
  <cp:lastPrinted>2022-05-30T11:07:00Z</cp:lastPrinted>
  <dcterms:created xsi:type="dcterms:W3CDTF">2022-03-01T12:05:00Z</dcterms:created>
  <dcterms:modified xsi:type="dcterms:W3CDTF">2022-06-01T07:11:00Z</dcterms:modified>
</cp:coreProperties>
</file>